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 w:line="276"/>
        <w:jc w:val="center"/>
      </w:pPr>
      <w:r>
        <w:rPr>
          <w:rFonts w:ascii="Calibri" w:cs="Calibri" w:eastAsia="Calibri" w:hAnsi="Calibri"/>
          <w:b/>
          <w:bCs/>
          <w:i w:val="false"/>
          <w:iCs w:val="false"/>
          <w:color w:val="8B6914"/>
          <w:sz w:val="16"/>
          <w:szCs w:val="16"/>
        </w:rPr>
        <w:t xml:space="preserve">HISTORY AND SOURCE MAP</w:t>
      </w:r>
    </w:p>
    <w:p>
      <w:pPr>
        <w:spacing w:after="40" w:before="0" w:line="276"/>
        <w:jc w:val="center"/>
      </w:pPr>
      <w:r>
        <w:rPr>
          <w:rFonts w:ascii="Calibri" w:cs="Calibri" w:eastAsia="Calibri" w:hAnsi="Calibri"/>
          <w:b/>
          <w:bCs/>
          <w:i w:val="false"/>
          <w:iCs w:val="false"/>
          <w:color w:val="1B365D"/>
          <w:sz w:val="40"/>
          <w:szCs w:val="40"/>
        </w:rPr>
        <w:t xml:space="preserve">Neurofeedback Practice Standards</w:t>
      </w:r>
    </w:p>
    <w:p>
      <w:pPr>
        <w:spacing w:after="200" w:before="0" w:line="276"/>
        <w:jc w:val="center"/>
      </w:pPr>
      <w:r>
        <w:rPr>
          <w:rFonts w:ascii="Calibri" w:cs="Calibri" w:eastAsia="Calibri" w:hAnsi="Calibri"/>
          <w:b w:val="false"/>
          <w:bCs w:val="false"/>
          <w:i/>
          <w:iCs/>
          <w:color w:val="2C5F6E"/>
          <w:sz w:val="20"/>
          <w:szCs w:val="20"/>
        </w:rPr>
        <w:t xml:space="preserve">What the field has published, what those documents are, and what they are not</w:t>
      </w:r>
    </w:p>
    <w:p>
      <w:pPr>
        <w:pStyle w:val="Heading1"/>
        <w:pBdr>
          <w:bottom w:val="single" w:color="1B365D" w:sz="12" w:space="4"/>
        </w:pBdr>
        <w:spacing w:after="120" w:before="280"/>
      </w:pPr>
      <w:r>
        <w:rPr>
          <w:rFonts w:ascii="Calibri" w:cs="Calibri" w:eastAsia="Calibri" w:hAnsi="Calibri"/>
          <w:b/>
          <w:bCs/>
          <w:color w:val="1B365D"/>
          <w:sz w:val="30"/>
          <w:szCs w:val="30"/>
        </w:rPr>
        <w:t xml:space="preserve">How to read this history</w:t>
      </w:r>
    </w:p>
    <w:p>
      <w:pPr>
        <w:spacing w:after="14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22222"/>
          <w:sz w:val="22"/>
          <w:szCs w:val="22"/>
        </w:rPr>
        <w:t xml:space="preserve">Neurofeedback has ethics codes, practice guidelines, voluntary certification, equipment-documentation rules, device classifications, and purchaser credentialing. It does not have a single, field-wide, membership-ratified Standards of Care. Those categories are not interchangeable. The table below labels each document so later public copy cannot treat all of them as the same instrument.</w:t>
      </w:r>
    </w:p>
    <w:p>
      <w:pPr>
        <w:pStyle w:val="Heading1"/>
        <w:pBdr>
          <w:bottom w:val="single" w:color="1B365D" w:sz="12" w:space="4"/>
        </w:pBdr>
        <w:spacing w:after="120" w:before="280"/>
      </w:pPr>
      <w:r>
        <w:rPr>
          <w:rFonts w:ascii="Calibri" w:cs="Calibri" w:eastAsia="Calibri" w:hAnsi="Calibri"/>
          <w:b/>
          <w:bCs/>
          <w:color w:val="1B365D"/>
          <w:sz w:val="30"/>
          <w:szCs w:val="30"/>
        </w:rPr>
        <w:t xml:space="preserve">Chronology</w:t>
      </w:r>
    </w:p>
    <w:p>
      <w:pPr>
        <w:pStyle w:val="Heading2"/>
        <w:spacing w:after="80" w:before="220"/>
      </w:pPr>
      <w:r>
        <w:rPr>
          <w:rFonts w:ascii="Calibri" w:cs="Calibri" w:eastAsia="Calibri" w:hAnsi="Calibri"/>
          <w:b/>
          <w:bCs/>
          <w:color w:val="2C5F6E"/>
          <w:sz w:val="24"/>
          <w:szCs w:val="24"/>
        </w:rPr>
        <w:t xml:space="preserve">Certification ethics, from 1990</w:t>
      </w:r>
    </w:p>
    <w:p>
      <w:pPr>
        <w:spacing w:after="14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22222"/>
          <w:sz w:val="22"/>
          <w:szCs w:val="22"/>
        </w:rPr>
        <w:t xml:space="preserve">The Biofeedback Certification International Alliance adopted Professional Standards and Ethical Principles in 1990 and has revised them repeatedly. The tenth revision was adopted on 2 May 2026. The document governs certificants and applicants. It states that certification is not a license to practice independently.</w:t>
      </w:r>
    </w:p>
    <w:p>
      <w:pPr>
        <w:pStyle w:val="Heading2"/>
        <w:spacing w:after="80" w:before="220"/>
      </w:pPr>
      <w:r>
        <w:rPr>
          <w:rFonts w:ascii="Calibri" w:cs="Calibri" w:eastAsia="Calibri" w:hAnsi="Calibri"/>
          <w:b/>
          <w:bCs/>
          <w:color w:val="2C5F6E"/>
          <w:sz w:val="24"/>
          <w:szCs w:val="24"/>
        </w:rPr>
        <w:t xml:space="preserve">Quantitative EEG used to guide training, 2004</w:t>
      </w:r>
    </w:p>
    <w:p>
      <w:pPr>
        <w:spacing w:after="14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22222"/>
          <w:sz w:val="22"/>
          <w:szCs w:val="22"/>
        </w:rPr>
        <w:t xml:space="preserve">An ISNR Board-accepted position paper in 2004 addressed quantitative EEG when used to guide neurofeedback. It distinguished that use from QEEG as a medical diagnostic test and made recommendations on training, certification, equipment, and data collection. It is a QEEG paper, not a general Standard of Care.</w:t>
      </w:r>
    </w:p>
    <w:p>
      <w:pPr>
        <w:pStyle w:val="Heading2"/>
        <w:spacing w:after="80" w:before="220"/>
      </w:pPr>
      <w:r>
        <w:rPr>
          <w:rFonts w:ascii="Calibri" w:cs="Calibri" w:eastAsia="Calibri" w:hAnsi="Calibri"/>
          <w:b/>
          <w:bCs/>
          <w:color w:val="2C5F6E"/>
          <w:sz w:val="24"/>
          <w:szCs w:val="24"/>
        </w:rPr>
        <w:t xml:space="preserve">A published call for standards, 2008</w:t>
      </w:r>
    </w:p>
    <w:p>
      <w:pPr>
        <w:spacing w:after="14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22222"/>
          <w:sz w:val="22"/>
          <w:szCs w:val="22"/>
        </w:rPr>
        <w:t xml:space="preserve">Hammond and Kirk (2008) documented adverse effects and argued that uneven training created a need for practice standards and licensed scope. The article is an argument in the literature, not an adopted instrument.</w:t>
      </w:r>
    </w:p>
    <w:p>
      <w:pPr>
        <w:pStyle w:val="Heading2"/>
        <w:spacing w:after="80" w:before="220"/>
      </w:pPr>
      <w:r>
        <w:rPr>
          <w:rFonts w:ascii="Calibri" w:cs="Calibri" w:eastAsia="Calibri" w:hAnsi="Calibri"/>
          <w:b/>
          <w:bCs/>
          <w:color w:val="2C5F6E"/>
          <w:sz w:val="24"/>
          <w:szCs w:val="24"/>
        </w:rPr>
        <w:t xml:space="preserve">The 2011 position paper</w:t>
      </w:r>
    </w:p>
    <w:p>
      <w:pPr>
        <w:spacing w:after="14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22222"/>
          <w:sz w:val="22"/>
          <w:szCs w:val="22"/>
        </w:rPr>
        <w:t xml:space="preserve">In 2011 the Journal of Neurotherapy published “Standards of Practice for Neurofeedback and Neurotherapy,” by Hammond, Bodenhamer-Davis, Gluck, Stokes, Harper, Trudeau, MacDonald, Lunt, and Kirk (volume 15, pages 54–64). The paper was received on 1 November 2010, accepted on 3 December 2010, and published online on 26 February 2011. It states that it was accepted by the ISNR Board of Directors as a position paper of the Society.</w:t>
      </w:r>
    </w:p>
    <w:p>
      <w:pPr>
        <w:spacing w:after="14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22222"/>
          <w:sz w:val="22"/>
          <w:szCs w:val="22"/>
        </w:rPr>
        <w:t xml:space="preserve">A later project memorandum dates that same digital object identifier to 16 March 2014 and treats the text as not endorsed as official Standards of Care after membership pushback over process: the draft had not been circulated and members had not been given a chance to vote. Both facts stand. The Board accepted a 2011 position paper. The Society later emphasized ethics principles and Guidelines for Practice rather than a voted Standards of Care document. It is not accurate to write that ISNR “rejected” the 2011 paper.</w:t>
      </w:r>
    </w:p>
    <w:p>
      <w:pPr>
        <w:pStyle w:val="Heading2"/>
        <w:spacing w:after="80" w:before="220"/>
      </w:pPr>
      <w:r>
        <w:rPr>
          <w:rFonts w:ascii="Calibri" w:cs="Calibri" w:eastAsia="Calibri" w:hAnsi="Calibri"/>
          <w:b/>
          <w:bCs/>
          <w:color w:val="2C5F6E"/>
          <w:sz w:val="24"/>
          <w:szCs w:val="24"/>
        </w:rPr>
        <w:t xml:space="preserve">Ethics and guidelines after 2011</w:t>
      </w:r>
    </w:p>
    <w:p>
      <w:pPr>
        <w:spacing w:after="14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22222"/>
          <w:sz w:val="22"/>
          <w:szCs w:val="22"/>
        </w:rPr>
        <w:t xml:space="preserve">ISNR’s Professional Standards and Ethical Principles were modified in August 2020, with Board-ratified definitions of neuroregulation and neuromodulation on 9 August 2020. The Guidelines for Practice extend that code and state that membership and BCIA certification are voluntary. A Board-approved home and remote training toolkit followed in 2020. A “What is Neurofeedback” page was Board-ratified on 28 July 2024. Those documents are guardrails. They do not fill the empty Standards of Care cell.</w:t>
      </w:r>
    </w:p>
    <w:p>
      <w:pPr>
        <w:pStyle w:val="Heading2"/>
        <w:spacing w:after="80" w:before="220"/>
      </w:pPr>
      <w:r>
        <w:rPr>
          <w:rFonts w:ascii="Calibri" w:cs="Calibri" w:eastAsia="Calibri" w:hAnsi="Calibri"/>
          <w:b/>
          <w:bCs/>
          <w:color w:val="2C5F6E"/>
          <w:sz w:val="24"/>
          <w:szCs w:val="24"/>
        </w:rPr>
        <w:t xml:space="preserve">Association standards, equipment rules, and purchaser rules</w:t>
      </w:r>
    </w:p>
    <w:p>
      <w:pPr>
        <w:spacing w:after="14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22222"/>
          <w:sz w:val="22"/>
          <w:szCs w:val="22"/>
        </w:rPr>
        <w:t xml:space="preserve">AAPB’s Standards for Performing Biofeedback (2013 committee) are written to apply to every provider of biofeedback-related services, member or not. IEEE Std 2010-2023 is a recommended practice for documenting EEG neurofeedback systems and software, not a clinical standard. U.S. device rules classify certain biofeedback and EEG equipment; they do not license practitioners. The Department of Veterans Affairs Community Care Network sets credentialing minima for network providers. Those are purchaser rules.</w:t>
      </w:r>
    </w:p>
    <w:p>
      <w:pPr>
        <w:pStyle w:val="Heading2"/>
        <w:spacing w:after="80" w:before="220"/>
      </w:pPr>
      <w:r>
        <w:rPr>
          <w:rFonts w:ascii="Calibri" w:cs="Calibri" w:eastAsia="Calibri" w:hAnsi="Calibri"/>
          <w:b/>
          <w:bCs/>
          <w:color w:val="2C5F6E"/>
          <w:sz w:val="24"/>
          <w:szCs w:val="24"/>
        </w:rPr>
        <w:t xml:space="preserve">Quantitative EEG credentials and research reporting</w:t>
      </w:r>
    </w:p>
    <w:p>
      <w:pPr>
        <w:spacing w:after="14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22222"/>
          <w:sz w:val="22"/>
          <w:szCs w:val="22"/>
        </w:rPr>
        <w:t xml:space="preserve">The International QEEG Certification Board certifies at diplomate and technologist levels and in 2025 published technical and report-writing guidance. CRED-nf (2020) is a consensus checklist for the design and reporting of neurofeedback experiments. It belongs with research practice, not with clinical Standards of Care.</w:t>
      </w:r>
    </w:p>
    <w:p>
      <w:pPr>
        <w:pStyle w:val="Heading1"/>
        <w:pBdr>
          <w:bottom w:val="single" w:color="1B365D" w:sz="12" w:space="4"/>
        </w:pBdr>
        <w:spacing w:after="120" w:before="280"/>
      </w:pPr>
      <w:r>
        <w:rPr>
          <w:rFonts w:ascii="Calibri" w:cs="Calibri" w:eastAsia="Calibri" w:hAnsi="Calibri"/>
          <w:b/>
          <w:bCs/>
          <w:color w:val="1B365D"/>
          <w:sz w:val="30"/>
          <w:szCs w:val="30"/>
        </w:rPr>
        <w:t xml:space="preserve">Source table</w:t>
      </w:r>
    </w:p>
    <w:p>
      <w:pPr>
        <w:spacing w:after="14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22222"/>
          <w:sz w:val="22"/>
          <w:szCs w:val="22"/>
        </w:rPr>
        <w:t xml:space="preserve">Links are given where a stable public address exists. Blank link cells are documents that live in a project file or that vary by jurisdiction.</w:t>
      </w:r>
    </w:p>
    <w:tbl>
      <w:tblPr>
        <w:tblW w:type="dxa" w:w="14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1680"/>
        <w:gridCol w:w="3720"/>
        <w:gridCol w:w="3720"/>
        <w:gridCol w:w="2880"/>
      </w:tblGrid>
      <w:tr>
        <w:trPr>
          <w:tblHeader/>
        </w:trPr>
        <w:tc>
          <w:tcPr>
            <w:tcW w:type="dxa" w:w="2400"/>
            <w:tcBorders>
              <w:top w:val="single" w:color="C5CDD4" w:sz="4"/>
              <w:left w:val="single" w:color="C5CDD4" w:sz="4"/>
              <w:bottom w:val="single" w:color="C5CDD4" w:sz="4"/>
              <w:right w:val="single" w:color="C5CDD4" w:sz="4"/>
            </w:tcBorders>
            <w:shd w:fill="1B365D" w:val="clear"/>
            <w:tcMar>
              <w:top w:type="dxa" w:w="50"/>
              <w:left w:type="dxa" w:w="60"/>
              <w:bottom w:type="dxa" w:w="50"/>
              <w:right w:type="dxa" w:w="60"/>
            </w:tcMar>
            <w:vAlign w:val="top"/>
          </w:tcPr>
          <w:p>
            <w:pPr>
              <w:spacing w:after="0" w:line="23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6"/>
                <w:szCs w:val="16"/>
              </w:rPr>
              <w:t xml:space="preserve">Source</w:t>
            </w:r>
          </w:p>
        </w:tc>
        <w:tc>
          <w:tcPr>
            <w:tcW w:type="dxa" w:w="1680"/>
            <w:tcBorders>
              <w:top w:val="single" w:color="C5CDD4" w:sz="4"/>
              <w:left w:val="single" w:color="C5CDD4" w:sz="4"/>
              <w:bottom w:val="single" w:color="C5CDD4" w:sz="4"/>
              <w:right w:val="single" w:color="C5CDD4" w:sz="4"/>
            </w:tcBorders>
            <w:shd w:fill="1B365D" w:val="clear"/>
            <w:tcMar>
              <w:top w:type="dxa" w:w="50"/>
              <w:left w:type="dxa" w:w="60"/>
              <w:bottom w:type="dxa" w:w="50"/>
              <w:right w:type="dxa" w:w="60"/>
            </w:tcMar>
            <w:vAlign w:val="top"/>
          </w:tcPr>
          <w:p>
            <w:pPr>
              <w:spacing w:after="0" w:line="23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6"/>
                <w:szCs w:val="16"/>
              </w:rPr>
              <w:t xml:space="preserve">Type</w:t>
            </w:r>
          </w:p>
        </w:tc>
        <w:tc>
          <w:tcPr>
            <w:tcW w:type="dxa" w:w="3720"/>
            <w:tcBorders>
              <w:top w:val="single" w:color="C5CDD4" w:sz="4"/>
              <w:left w:val="single" w:color="C5CDD4" w:sz="4"/>
              <w:bottom w:val="single" w:color="C5CDD4" w:sz="4"/>
              <w:right w:val="single" w:color="C5CDD4" w:sz="4"/>
            </w:tcBorders>
            <w:shd w:fill="1B365D" w:val="clear"/>
            <w:tcMar>
              <w:top w:type="dxa" w:w="50"/>
              <w:left w:type="dxa" w:w="60"/>
              <w:bottom w:type="dxa" w:w="50"/>
              <w:right w:type="dxa" w:w="60"/>
            </w:tcMar>
            <w:vAlign w:val="top"/>
          </w:tcPr>
          <w:p>
            <w:pPr>
              <w:spacing w:after="0" w:line="23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6"/>
                <w:szCs w:val="16"/>
              </w:rPr>
              <w:t xml:space="preserve">What it is</w:t>
            </w:r>
          </w:p>
        </w:tc>
        <w:tc>
          <w:tcPr>
            <w:tcW w:type="dxa" w:w="3720"/>
            <w:tcBorders>
              <w:top w:val="single" w:color="C5CDD4" w:sz="4"/>
              <w:left w:val="single" w:color="C5CDD4" w:sz="4"/>
              <w:bottom w:val="single" w:color="C5CDD4" w:sz="4"/>
              <w:right w:val="single" w:color="C5CDD4" w:sz="4"/>
            </w:tcBorders>
            <w:shd w:fill="1B365D" w:val="clear"/>
            <w:tcMar>
              <w:top w:type="dxa" w:w="50"/>
              <w:left w:type="dxa" w:w="60"/>
              <w:bottom w:type="dxa" w:w="50"/>
              <w:right w:type="dxa" w:w="60"/>
            </w:tcMar>
            <w:vAlign w:val="top"/>
          </w:tcPr>
          <w:p>
            <w:pPr>
              <w:spacing w:after="0" w:line="23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6"/>
                <w:szCs w:val="16"/>
              </w:rPr>
              <w:t xml:space="preserve">What it is not</w:t>
            </w:r>
          </w:p>
        </w:tc>
        <w:tc>
          <w:tcPr>
            <w:tcW w:type="dxa" w:w="2880"/>
            <w:tcBorders>
              <w:top w:val="single" w:color="C5CDD4" w:sz="4"/>
              <w:left w:val="single" w:color="C5CDD4" w:sz="4"/>
              <w:bottom w:val="single" w:color="C5CDD4" w:sz="4"/>
              <w:right w:val="single" w:color="C5CDD4" w:sz="4"/>
            </w:tcBorders>
            <w:shd w:fill="1B365D" w:val="clear"/>
            <w:tcMar>
              <w:top w:type="dxa" w:w="50"/>
              <w:left w:type="dxa" w:w="60"/>
              <w:bottom w:type="dxa" w:w="50"/>
              <w:right w:type="dxa" w:w="60"/>
            </w:tcMar>
            <w:vAlign w:val="top"/>
          </w:tcPr>
          <w:p>
            <w:pPr>
              <w:spacing w:after="0" w:line="23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6"/>
                <w:szCs w:val="16"/>
              </w:rPr>
              <w:t xml:space="preserve">Link</w:t>
            </w:r>
          </w:p>
        </w:tc>
      </w:tr>
      <w:tr>
        <w:tc>
          <w:tcPr>
            <w:tcW w:type="dxa" w:w="2400"/>
            <w:tcBorders>
              <w:top w:val="single" w:color="C5CDD4" w:sz="4"/>
              <w:left w:val="single" w:color="C5CDD4" w:sz="4"/>
              <w:bottom w:val="single" w:color="C5CDD4" w:sz="4"/>
              <w:right w:val="single" w:color="C5CDD4" w:sz="4"/>
            </w:tcBorders>
            <w:shd w:fill="FFFFFF" w:val="clear"/>
            <w:tcMar>
              <w:top w:type="dxa" w:w="50"/>
              <w:left w:type="dxa" w:w="60"/>
              <w:bottom w:type="dxa" w:w="50"/>
              <w:right w:type="dxa" w:w="60"/>
            </w:tcMar>
            <w:vAlign w:val="top"/>
          </w:tcPr>
          <w:p>
            <w:pPr>
              <w:spacing w:after="0" w:line="23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6"/>
                <w:szCs w:val="16"/>
              </w:rPr>
              <w:t xml:space="preserve">Hammond, D. C., and Kirk, L. (2008). First, do no harm: Adverse effects and the need for practice standards in neurofeedback. Journal of Neurotherapy, 12(1), 79–88.</w:t>
            </w:r>
          </w:p>
        </w:tc>
        <w:tc>
          <w:tcPr>
            <w:tcW w:type="dxa" w:w="1680"/>
            <w:tcBorders>
              <w:top w:val="single" w:color="C5CDD4" w:sz="4"/>
              <w:left w:val="single" w:color="C5CDD4" w:sz="4"/>
              <w:bottom w:val="single" w:color="C5CDD4" w:sz="4"/>
              <w:right w:val="single" w:color="C5CDD4" w:sz="4"/>
            </w:tcBorders>
            <w:shd w:fill="FFFFFF" w:val="clear"/>
            <w:tcMar>
              <w:top w:type="dxa" w:w="50"/>
              <w:left w:type="dxa" w:w="60"/>
              <w:bottom w:type="dxa" w:w="50"/>
              <w:right w:type="dxa" w:w="60"/>
            </w:tcMar>
            <w:vAlign w:val="top"/>
          </w:tcPr>
          <w:p>
            <w:pPr>
              <w:spacing w:after="0" w:line="23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6"/>
                <w:szCs w:val="16"/>
              </w:rPr>
              <w:t xml:space="preserve">Journal article / call for standards</w:t>
            </w:r>
          </w:p>
        </w:tc>
        <w:tc>
          <w:tcPr>
            <w:tcW w:type="dxa" w:w="3720"/>
            <w:tcBorders>
              <w:top w:val="single" w:color="C5CDD4" w:sz="4"/>
              <w:left w:val="single" w:color="C5CDD4" w:sz="4"/>
              <w:bottom w:val="single" w:color="C5CDD4" w:sz="4"/>
              <w:right w:val="single" w:color="C5CDD4" w:sz="4"/>
            </w:tcBorders>
            <w:shd w:fill="FFFFFF" w:val="clear"/>
            <w:tcMar>
              <w:top w:type="dxa" w:w="50"/>
              <w:left w:type="dxa" w:w="60"/>
              <w:bottom w:type="dxa" w:w="50"/>
              <w:right w:type="dxa" w:w="60"/>
            </w:tcMar>
            <w:vAlign w:val="top"/>
          </w:tcPr>
          <w:p>
            <w:pPr>
              <w:spacing w:after="0" w:line="23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6"/>
                <w:szCs w:val="16"/>
              </w:rPr>
              <w:t xml:space="preserve">Documents adverse effects and argues that uneven training created a need for practice standards and licensed scope.</w:t>
            </w:r>
          </w:p>
        </w:tc>
        <w:tc>
          <w:tcPr>
            <w:tcW w:type="dxa" w:w="3720"/>
            <w:tcBorders>
              <w:top w:val="single" w:color="C5CDD4" w:sz="4"/>
              <w:left w:val="single" w:color="C5CDD4" w:sz="4"/>
              <w:bottom w:val="single" w:color="C5CDD4" w:sz="4"/>
              <w:right w:val="single" w:color="C5CDD4" w:sz="4"/>
            </w:tcBorders>
            <w:shd w:fill="FFFFFF" w:val="clear"/>
            <w:tcMar>
              <w:top w:type="dxa" w:w="50"/>
              <w:left w:type="dxa" w:w="60"/>
              <w:bottom w:type="dxa" w:w="50"/>
              <w:right w:type="dxa" w:w="60"/>
            </w:tcMar>
            <w:vAlign w:val="top"/>
          </w:tcPr>
          <w:p>
            <w:pPr>
              <w:spacing w:after="0" w:line="23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6"/>
                <w:szCs w:val="16"/>
              </w:rPr>
              <w:t xml:space="preserve">Not a society-adopted standard. Advocacy and argument, not an official instrument.</w:t>
            </w:r>
          </w:p>
        </w:tc>
        <w:tc>
          <w:tcPr>
            <w:tcW w:type="dxa" w:w="2880"/>
            <w:tcBorders>
              <w:top w:val="single" w:color="C5CDD4" w:sz="4"/>
              <w:left w:val="single" w:color="C5CDD4" w:sz="4"/>
              <w:bottom w:val="single" w:color="C5CDD4" w:sz="4"/>
              <w:right w:val="single" w:color="C5CDD4" w:sz="4"/>
            </w:tcBorders>
            <w:shd w:fill="FFFFFF" w:val="clear"/>
            <w:tcMar>
              <w:top w:type="dxa" w:w="50"/>
              <w:left w:type="dxa" w:w="60"/>
              <w:bottom w:type="dxa" w:w="50"/>
              <w:right w:type="dxa" w:w="60"/>
            </w:tcMar>
            <w:vAlign w:val="top"/>
          </w:tcPr>
          <w:p>
            <w:pPr>
              <w:spacing w:after="0" w:line="220"/>
            </w:pPr>
            <w:hyperlink w:history="1" r:id="rId2jbkzzbqn7rplv53gnbpp">
              <w:r>
                <w:rPr>
                  <w:rFonts w:ascii="Calibri" w:cs="Calibri" w:eastAsia="Calibri" w:hAnsi="Calibri"/>
                  <w:color w:val="1B4F8A"/>
                  <w:sz w:val="15"/>
                  <w:szCs w:val="15"/>
                  <w:u w:val="single"/>
                </w:rPr>
                <w:t xml:space="preserve">doi.org/10.1080/10874200802219947</w:t>
              </w:r>
            </w:hyperlink>
          </w:p>
        </w:tc>
      </w:tr>
      <w:tr>
        <w:tc>
          <w:tcPr>
            <w:tcW w:type="dxa" w:w="2400"/>
            <w:tcBorders>
              <w:top w:val="single" w:color="C5CDD4" w:sz="4"/>
              <w:left w:val="single" w:color="C5CDD4" w:sz="4"/>
              <w:bottom w:val="single" w:color="C5CDD4" w:sz="4"/>
              <w:right w:val="single" w:color="C5CDD4" w:sz="4"/>
            </w:tcBorders>
            <w:shd w:fill="F3F6F9" w:val="clear"/>
            <w:tcMar>
              <w:top w:type="dxa" w:w="50"/>
              <w:left w:type="dxa" w:w="60"/>
              <w:bottom w:type="dxa" w:w="50"/>
              <w:right w:type="dxa" w:w="60"/>
            </w:tcMar>
            <w:vAlign w:val="top"/>
          </w:tcPr>
          <w:p>
            <w:pPr>
              <w:spacing w:after="0" w:line="23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6"/>
                <w:szCs w:val="16"/>
              </w:rPr>
              <w:t xml:space="preserve">Hammond, Walker, Hoffman, Lubar, Trudeau, Gurnee, and Horvat (2004). Journal of Neurotherapy, 8(1), 5–27.</w:t>
            </w:r>
          </w:p>
        </w:tc>
        <w:tc>
          <w:tcPr>
            <w:tcW w:type="dxa" w:w="1680"/>
            <w:tcBorders>
              <w:top w:val="single" w:color="C5CDD4" w:sz="4"/>
              <w:left w:val="single" w:color="C5CDD4" w:sz="4"/>
              <w:bottom w:val="single" w:color="C5CDD4" w:sz="4"/>
              <w:right w:val="single" w:color="C5CDD4" w:sz="4"/>
            </w:tcBorders>
            <w:shd w:fill="F3F6F9" w:val="clear"/>
            <w:tcMar>
              <w:top w:type="dxa" w:w="50"/>
              <w:left w:type="dxa" w:w="60"/>
              <w:bottom w:type="dxa" w:w="50"/>
              <w:right w:type="dxa" w:w="60"/>
            </w:tcMar>
            <w:vAlign w:val="top"/>
          </w:tcPr>
          <w:p>
            <w:pPr>
              <w:spacing w:after="0" w:line="23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6"/>
                <w:szCs w:val="16"/>
              </w:rPr>
              <w:t xml:space="preserve">ISNR Board position paper (QEEG)</w:t>
            </w:r>
          </w:p>
        </w:tc>
        <w:tc>
          <w:tcPr>
            <w:tcW w:type="dxa" w:w="3720"/>
            <w:tcBorders>
              <w:top w:val="single" w:color="C5CDD4" w:sz="4"/>
              <w:left w:val="single" w:color="C5CDD4" w:sz="4"/>
              <w:bottom w:val="single" w:color="C5CDD4" w:sz="4"/>
              <w:right w:val="single" w:color="C5CDD4" w:sz="4"/>
            </w:tcBorders>
            <w:shd w:fill="F3F6F9" w:val="clear"/>
            <w:tcMar>
              <w:top w:type="dxa" w:w="50"/>
              <w:left w:type="dxa" w:w="60"/>
              <w:bottom w:type="dxa" w:w="50"/>
              <w:right w:type="dxa" w:w="60"/>
            </w:tcMar>
            <w:vAlign w:val="top"/>
          </w:tcPr>
          <w:p>
            <w:pPr>
              <w:spacing w:after="0" w:line="23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6"/>
                <w:szCs w:val="16"/>
              </w:rPr>
              <w:t xml:space="preserve">Board-accepted recommendations on training, certification, equipment, and data collection when quantitative EEG is used to guide neurofeedback rather than to make a medical diagnosis.</w:t>
            </w:r>
          </w:p>
        </w:tc>
        <w:tc>
          <w:tcPr>
            <w:tcW w:type="dxa" w:w="3720"/>
            <w:tcBorders>
              <w:top w:val="single" w:color="C5CDD4" w:sz="4"/>
              <w:left w:val="single" w:color="C5CDD4" w:sz="4"/>
              <w:bottom w:val="single" w:color="C5CDD4" w:sz="4"/>
              <w:right w:val="single" w:color="C5CDD4" w:sz="4"/>
            </w:tcBorders>
            <w:shd w:fill="F3F6F9" w:val="clear"/>
            <w:tcMar>
              <w:top w:type="dxa" w:w="50"/>
              <w:left w:type="dxa" w:w="60"/>
              <w:bottom w:type="dxa" w:w="50"/>
              <w:right w:type="dxa" w:w="60"/>
            </w:tcMar>
            <w:vAlign w:val="top"/>
          </w:tcPr>
          <w:p>
            <w:pPr>
              <w:spacing w:after="0" w:line="23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6"/>
                <w:szCs w:val="16"/>
              </w:rPr>
              <w:t xml:space="preserve">Not a general Standard of Care for neurofeedback. Twenty-two years old; literature claims in the paper should be dated, not recycled as current evidence.</w:t>
            </w:r>
          </w:p>
        </w:tc>
        <w:tc>
          <w:tcPr>
            <w:tcW w:type="dxa" w:w="2880"/>
            <w:tcBorders>
              <w:top w:val="single" w:color="C5CDD4" w:sz="4"/>
              <w:left w:val="single" w:color="C5CDD4" w:sz="4"/>
              <w:bottom w:val="single" w:color="C5CDD4" w:sz="4"/>
              <w:right w:val="single" w:color="C5CDD4" w:sz="4"/>
            </w:tcBorders>
            <w:shd w:fill="F3F6F9" w:val="clear"/>
            <w:tcMar>
              <w:top w:type="dxa" w:w="50"/>
              <w:left w:type="dxa" w:w="60"/>
              <w:bottom w:type="dxa" w:w="50"/>
              <w:right w:type="dxa" w:w="60"/>
            </w:tcMar>
            <w:vAlign w:val="top"/>
          </w:tcPr>
          <w:p>
            <w:pPr>
              <w:spacing w:after="0" w:line="220"/>
            </w:pPr>
            <w:hyperlink w:history="1" r:id="rIdjecjemkpjzsx69wi-9x3l">
              <w:r>
                <w:rPr>
                  <w:rFonts w:ascii="Calibri" w:cs="Calibri" w:eastAsia="Calibri" w:hAnsi="Calibri"/>
                  <w:color w:val="1B4F8A"/>
                  <w:sz w:val="15"/>
                  <w:szCs w:val="15"/>
                  <w:u w:val="single"/>
                </w:rPr>
                <w:t xml:space="preserve">doi.org/10.1300/J184v08n01_02</w:t>
              </w:r>
            </w:hyperlink>
          </w:p>
        </w:tc>
      </w:tr>
      <w:tr>
        <w:tc>
          <w:tcPr>
            <w:tcW w:type="dxa" w:w="2400"/>
            <w:tcBorders>
              <w:top w:val="single" w:color="C5CDD4" w:sz="4"/>
              <w:left w:val="single" w:color="C5CDD4" w:sz="4"/>
              <w:bottom w:val="single" w:color="C5CDD4" w:sz="4"/>
              <w:right w:val="single" w:color="C5CDD4" w:sz="4"/>
            </w:tcBorders>
            <w:shd w:fill="FFFFFF" w:val="clear"/>
            <w:tcMar>
              <w:top w:type="dxa" w:w="50"/>
              <w:left w:type="dxa" w:w="60"/>
              <w:bottom w:type="dxa" w:w="50"/>
              <w:right w:type="dxa" w:w="60"/>
            </w:tcMar>
            <w:vAlign w:val="top"/>
          </w:tcPr>
          <w:p>
            <w:pPr>
              <w:spacing w:after="0" w:line="23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6"/>
                <w:szCs w:val="16"/>
              </w:rPr>
              <w:t xml:space="preserve">Hammond, Bodenhamer-Davis, Gluck, Stokes, Harper, Trudeau, MacDonald, Lunt, and Kirk (2011). Journal of Neurotherapy, 15(1), 54–64. Received 1 Nov 2010; published online 26 Feb 2011.</w:t>
            </w:r>
          </w:p>
        </w:tc>
        <w:tc>
          <w:tcPr>
            <w:tcW w:type="dxa" w:w="1680"/>
            <w:tcBorders>
              <w:top w:val="single" w:color="C5CDD4" w:sz="4"/>
              <w:left w:val="single" w:color="C5CDD4" w:sz="4"/>
              <w:bottom w:val="single" w:color="C5CDD4" w:sz="4"/>
              <w:right w:val="single" w:color="C5CDD4" w:sz="4"/>
            </w:tcBorders>
            <w:shd w:fill="FFFFFF" w:val="clear"/>
            <w:tcMar>
              <w:top w:type="dxa" w:w="50"/>
              <w:left w:type="dxa" w:w="60"/>
              <w:bottom w:type="dxa" w:w="50"/>
              <w:right w:type="dxa" w:w="60"/>
            </w:tcMar>
            <w:vAlign w:val="top"/>
          </w:tcPr>
          <w:p>
            <w:pPr>
              <w:spacing w:after="0" w:line="23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6"/>
                <w:szCs w:val="16"/>
              </w:rPr>
              <w:t xml:space="preserve">ISNR Board position paper</w:t>
            </w:r>
          </w:p>
        </w:tc>
        <w:tc>
          <w:tcPr>
            <w:tcW w:type="dxa" w:w="3720"/>
            <w:tcBorders>
              <w:top w:val="single" w:color="C5CDD4" w:sz="4"/>
              <w:left w:val="single" w:color="C5CDD4" w:sz="4"/>
              <w:bottom w:val="single" w:color="C5CDD4" w:sz="4"/>
              <w:right w:val="single" w:color="C5CDD4" w:sz="4"/>
            </w:tcBorders>
            <w:shd w:fill="FFFFFF" w:val="clear"/>
            <w:tcMar>
              <w:top w:type="dxa" w:w="50"/>
              <w:left w:type="dxa" w:w="60"/>
              <w:bottom w:type="dxa" w:w="50"/>
              <w:right w:type="dxa" w:w="60"/>
            </w:tcMar>
            <w:vAlign w:val="top"/>
          </w:tcPr>
          <w:p>
            <w:pPr>
              <w:spacing w:after="0" w:line="23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6"/>
                <w:szCs w:val="16"/>
              </w:rPr>
              <w:t xml:space="preserve">Committee product accepted by the ISNR Board as a position paper on standards and guidelines. Covers competence, scope, consent, assessment, remote training, records, coaching, advertising, societies, and equipment sales.</w:t>
            </w:r>
          </w:p>
        </w:tc>
        <w:tc>
          <w:tcPr>
            <w:tcW w:type="dxa" w:w="3720"/>
            <w:tcBorders>
              <w:top w:val="single" w:color="C5CDD4" w:sz="4"/>
              <w:left w:val="single" w:color="C5CDD4" w:sz="4"/>
              <w:bottom w:val="single" w:color="C5CDD4" w:sz="4"/>
              <w:right w:val="single" w:color="C5CDD4" w:sz="4"/>
            </w:tcBorders>
            <w:shd w:fill="FFFFFF" w:val="clear"/>
            <w:tcMar>
              <w:top w:type="dxa" w:w="50"/>
              <w:left w:type="dxa" w:w="60"/>
              <w:bottom w:type="dxa" w:w="50"/>
              <w:right w:type="dxa" w:w="60"/>
            </w:tcMar>
            <w:vAlign w:val="top"/>
          </w:tcPr>
          <w:p>
            <w:pPr>
              <w:spacing w:after="0" w:line="23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6"/>
                <w:szCs w:val="16"/>
              </w:rPr>
              <w:t xml:space="preserve">Not a membership-ratified Standard of Care. Not the language of the current ISNR Guidelines for Practice page. Do not date this paper to 16 March 2014.</w:t>
            </w:r>
          </w:p>
        </w:tc>
        <w:tc>
          <w:tcPr>
            <w:tcW w:type="dxa" w:w="2880"/>
            <w:tcBorders>
              <w:top w:val="single" w:color="C5CDD4" w:sz="4"/>
              <w:left w:val="single" w:color="C5CDD4" w:sz="4"/>
              <w:bottom w:val="single" w:color="C5CDD4" w:sz="4"/>
              <w:right w:val="single" w:color="C5CDD4" w:sz="4"/>
            </w:tcBorders>
            <w:shd w:fill="FFFFFF" w:val="clear"/>
            <w:tcMar>
              <w:top w:type="dxa" w:w="50"/>
              <w:left w:type="dxa" w:w="60"/>
              <w:bottom w:type="dxa" w:w="50"/>
              <w:right w:type="dxa" w:w="60"/>
            </w:tcMar>
            <w:vAlign w:val="top"/>
          </w:tcPr>
          <w:p>
            <w:pPr>
              <w:spacing w:after="30" w:line="220"/>
            </w:pPr>
            <w:hyperlink w:history="1" r:id="rId1qqwwr0_ch3pa9kmtmbpu">
              <w:r>
                <w:rPr>
                  <w:rFonts w:ascii="Calibri" w:cs="Calibri" w:eastAsia="Calibri" w:hAnsi="Calibri"/>
                  <w:color w:val="1B4F8A"/>
                  <w:sz w:val="15"/>
                  <w:szCs w:val="15"/>
                  <w:u w:val="single"/>
                </w:rPr>
                <w:t xml:space="preserve">doi.org/10.1080/10874208.2010.545760</w:t>
              </w:r>
            </w:hyperlink>
          </w:p>
          <w:p>
            <w:pPr>
              <w:spacing w:after="0" w:line="220"/>
            </w:pPr>
            <w:hyperlink w:history="1" r:id="rIdhblt_9tj7cheqwchmlo49">
              <w:r>
                <w:rPr>
                  <w:rFonts w:ascii="Calibri" w:cs="Calibri" w:eastAsia="Calibri" w:hAnsi="Calibri"/>
                  <w:color w:val="1B4F8A"/>
                  <w:sz w:val="15"/>
                  <w:szCs w:val="15"/>
                  <w:u w:val="single"/>
                </w:rPr>
                <w:t xml:space="preserve">Taylor &amp; Francis page</w:t>
              </w:r>
            </w:hyperlink>
          </w:p>
        </w:tc>
      </w:tr>
      <w:tr>
        <w:tc>
          <w:tcPr>
            <w:tcW w:type="dxa" w:w="2400"/>
            <w:tcBorders>
              <w:top w:val="single" w:color="C5CDD4" w:sz="4"/>
              <w:left w:val="single" w:color="C5CDD4" w:sz="4"/>
              <w:bottom w:val="single" w:color="C5CDD4" w:sz="4"/>
              <w:right w:val="single" w:color="C5CDD4" w:sz="4"/>
            </w:tcBorders>
            <w:shd w:fill="F3F6F9" w:val="clear"/>
            <w:tcMar>
              <w:top w:type="dxa" w:w="50"/>
              <w:left w:type="dxa" w:w="60"/>
              <w:bottom w:type="dxa" w:w="50"/>
              <w:right w:type="dxa" w:w="60"/>
            </w:tcMar>
            <w:vAlign w:val="top"/>
          </w:tcPr>
          <w:p>
            <w:pPr>
              <w:spacing w:after="0" w:line="23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6"/>
                <w:szCs w:val="16"/>
              </w:rPr>
              <w:t xml:space="preserve">ISNR Professional Standards and Ethical Principles (PSEP), modified August 2020. Definitions ratified 9 August 2020 (neuroregulation, neuromodulation; neurofeedback definition originally 10 January 2009).</w:t>
            </w:r>
          </w:p>
        </w:tc>
        <w:tc>
          <w:tcPr>
            <w:tcW w:type="dxa" w:w="1680"/>
            <w:tcBorders>
              <w:top w:val="single" w:color="C5CDD4" w:sz="4"/>
              <w:left w:val="single" w:color="C5CDD4" w:sz="4"/>
              <w:bottom w:val="single" w:color="C5CDD4" w:sz="4"/>
              <w:right w:val="single" w:color="C5CDD4" w:sz="4"/>
            </w:tcBorders>
            <w:shd w:fill="F3F6F9" w:val="clear"/>
            <w:tcMar>
              <w:top w:type="dxa" w:w="50"/>
              <w:left w:type="dxa" w:w="60"/>
              <w:bottom w:type="dxa" w:w="50"/>
              <w:right w:type="dxa" w:w="60"/>
            </w:tcMar>
            <w:vAlign w:val="top"/>
          </w:tcPr>
          <w:p>
            <w:pPr>
              <w:spacing w:after="0" w:line="23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6"/>
                <w:szCs w:val="16"/>
              </w:rPr>
              <w:t xml:space="preserve">Ethics code</w:t>
            </w:r>
          </w:p>
        </w:tc>
        <w:tc>
          <w:tcPr>
            <w:tcW w:type="dxa" w:w="3720"/>
            <w:tcBorders>
              <w:top w:val="single" w:color="C5CDD4" w:sz="4"/>
              <w:left w:val="single" w:color="C5CDD4" w:sz="4"/>
              <w:bottom w:val="single" w:color="C5CDD4" w:sz="4"/>
              <w:right w:val="single" w:color="C5CDD4" w:sz="4"/>
            </w:tcBorders>
            <w:shd w:fill="F3F6F9" w:val="clear"/>
            <w:tcMar>
              <w:top w:type="dxa" w:w="50"/>
              <w:left w:type="dxa" w:w="60"/>
              <w:bottom w:type="dxa" w:w="50"/>
              <w:right w:type="dxa" w:w="60"/>
            </w:tcMar>
            <w:vAlign w:val="top"/>
          </w:tcPr>
          <w:p>
            <w:pPr>
              <w:spacing w:after="0" w:line="23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6"/>
                <w:szCs w:val="16"/>
              </w:rPr>
              <w:t xml:space="preserve">Binding on ISNR members, applicants, staff, and agents. Defines neurofeedback, biofeedback, neuroregulation, and neuromodulation. Violation may lead to loss of membership.</w:t>
            </w:r>
          </w:p>
        </w:tc>
        <w:tc>
          <w:tcPr>
            <w:tcW w:type="dxa" w:w="3720"/>
            <w:tcBorders>
              <w:top w:val="single" w:color="C5CDD4" w:sz="4"/>
              <w:left w:val="single" w:color="C5CDD4" w:sz="4"/>
              <w:bottom w:val="single" w:color="C5CDD4" w:sz="4"/>
              <w:right w:val="single" w:color="C5CDD4" w:sz="4"/>
            </w:tcBorders>
            <w:shd w:fill="F3F6F9" w:val="clear"/>
            <w:tcMar>
              <w:top w:type="dxa" w:w="50"/>
              <w:left w:type="dxa" w:w="60"/>
              <w:bottom w:type="dxa" w:w="50"/>
              <w:right w:type="dxa" w:w="60"/>
            </w:tcMar>
            <w:vAlign w:val="top"/>
          </w:tcPr>
          <w:p>
            <w:pPr>
              <w:spacing w:after="0" w:line="23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6"/>
                <w:szCs w:val="16"/>
              </w:rPr>
              <w:t xml:space="preserve">Not a Standard of Care. Applies to members and agents, not to every unlicensed or non-member provider.</w:t>
            </w:r>
          </w:p>
        </w:tc>
        <w:tc>
          <w:tcPr>
            <w:tcW w:type="dxa" w:w="2880"/>
            <w:tcBorders>
              <w:top w:val="single" w:color="C5CDD4" w:sz="4"/>
              <w:left w:val="single" w:color="C5CDD4" w:sz="4"/>
              <w:bottom w:val="single" w:color="C5CDD4" w:sz="4"/>
              <w:right w:val="single" w:color="C5CDD4" w:sz="4"/>
            </w:tcBorders>
            <w:shd w:fill="F3F6F9" w:val="clear"/>
            <w:tcMar>
              <w:top w:type="dxa" w:w="50"/>
              <w:left w:type="dxa" w:w="60"/>
              <w:bottom w:type="dxa" w:w="50"/>
              <w:right w:type="dxa" w:w="60"/>
            </w:tcMar>
            <w:vAlign w:val="top"/>
          </w:tcPr>
          <w:p>
            <w:pPr>
              <w:spacing w:after="0" w:line="220"/>
            </w:pPr>
            <w:hyperlink w:history="1" r:id="rIdxduwc30n9bq7it-idm4gg">
              <w:r>
                <w:rPr>
                  <w:rFonts w:ascii="Calibri" w:cs="Calibri" w:eastAsia="Calibri" w:hAnsi="Calibri"/>
                  <w:color w:val="1B4F8A"/>
                  <w:sz w:val="15"/>
                  <w:szCs w:val="15"/>
                  <w:u w:val="single"/>
                </w:rPr>
                <w:t xml:space="preserve">isnr.org/isnr-code-of-ethics</w:t>
              </w:r>
            </w:hyperlink>
          </w:p>
        </w:tc>
      </w:tr>
      <w:tr>
        <w:tc>
          <w:tcPr>
            <w:tcW w:type="dxa" w:w="2400"/>
            <w:tcBorders>
              <w:top w:val="single" w:color="C5CDD4" w:sz="4"/>
              <w:left w:val="single" w:color="C5CDD4" w:sz="4"/>
              <w:bottom w:val="single" w:color="C5CDD4" w:sz="4"/>
              <w:right w:val="single" w:color="C5CDD4" w:sz="4"/>
            </w:tcBorders>
            <w:shd w:fill="FFFFFF" w:val="clear"/>
            <w:tcMar>
              <w:top w:type="dxa" w:w="50"/>
              <w:left w:type="dxa" w:w="60"/>
              <w:bottom w:type="dxa" w:w="50"/>
              <w:right w:type="dxa" w:w="60"/>
            </w:tcMar>
            <w:vAlign w:val="top"/>
          </w:tcPr>
          <w:p>
            <w:pPr>
              <w:spacing w:after="0" w:line="23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6"/>
                <w:szCs w:val="16"/>
              </w:rPr>
              <w:t xml:space="preserve">ISNR Guidelines for Practice</w:t>
            </w:r>
          </w:p>
        </w:tc>
        <w:tc>
          <w:tcPr>
            <w:tcW w:type="dxa" w:w="1680"/>
            <w:tcBorders>
              <w:top w:val="single" w:color="C5CDD4" w:sz="4"/>
              <w:left w:val="single" w:color="C5CDD4" w:sz="4"/>
              <w:bottom w:val="single" w:color="C5CDD4" w:sz="4"/>
              <w:right w:val="single" w:color="C5CDD4" w:sz="4"/>
            </w:tcBorders>
            <w:shd w:fill="FFFFFF" w:val="clear"/>
            <w:tcMar>
              <w:top w:type="dxa" w:w="50"/>
              <w:left w:type="dxa" w:w="60"/>
              <w:bottom w:type="dxa" w:w="50"/>
              <w:right w:type="dxa" w:w="60"/>
            </w:tcMar>
            <w:vAlign w:val="top"/>
          </w:tcPr>
          <w:p>
            <w:pPr>
              <w:spacing w:after="0" w:line="23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6"/>
                <w:szCs w:val="16"/>
              </w:rPr>
              <w:t xml:space="preserve">Practice guidelines</w:t>
            </w:r>
          </w:p>
        </w:tc>
        <w:tc>
          <w:tcPr>
            <w:tcW w:type="dxa" w:w="3720"/>
            <w:tcBorders>
              <w:top w:val="single" w:color="C5CDD4" w:sz="4"/>
              <w:left w:val="single" w:color="C5CDD4" w:sz="4"/>
              <w:bottom w:val="single" w:color="C5CDD4" w:sz="4"/>
              <w:right w:val="single" w:color="C5CDD4" w:sz="4"/>
            </w:tcBorders>
            <w:shd w:fill="FFFFFF" w:val="clear"/>
            <w:tcMar>
              <w:top w:type="dxa" w:w="50"/>
              <w:left w:type="dxa" w:w="60"/>
              <w:bottom w:type="dxa" w:w="50"/>
              <w:right w:type="dxa" w:w="60"/>
            </w:tcMar>
            <w:vAlign w:val="top"/>
          </w:tcPr>
          <w:p>
            <w:pPr>
              <w:spacing w:after="0" w:line="23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6"/>
                <w:szCs w:val="16"/>
              </w:rPr>
              <w:t xml:space="preserve">Public-facing methods reference and an extension of the ethics code. States that ISNR membership and BCIA certification are voluntary. Covers consent, assessment including a pre-training EEG, coaching, hygiene, equipment, and remote training.</w:t>
            </w:r>
          </w:p>
        </w:tc>
        <w:tc>
          <w:tcPr>
            <w:tcW w:type="dxa" w:w="3720"/>
            <w:tcBorders>
              <w:top w:val="single" w:color="C5CDD4" w:sz="4"/>
              <w:left w:val="single" w:color="C5CDD4" w:sz="4"/>
              <w:bottom w:val="single" w:color="C5CDD4" w:sz="4"/>
              <w:right w:val="single" w:color="C5CDD4" w:sz="4"/>
            </w:tcBorders>
            <w:shd w:fill="FFFFFF" w:val="clear"/>
            <w:tcMar>
              <w:top w:type="dxa" w:w="50"/>
              <w:left w:type="dxa" w:w="60"/>
              <w:bottom w:type="dxa" w:w="50"/>
              <w:right w:type="dxa" w:w="60"/>
            </w:tcMar>
            <w:vAlign w:val="top"/>
          </w:tcPr>
          <w:p>
            <w:pPr>
              <w:spacing w:after="0" w:line="23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6"/>
                <w:szCs w:val="16"/>
              </w:rPr>
              <w:t xml:space="preserve">Not a replacement for Standards of Care. The live page does not print an adoption date.</w:t>
            </w:r>
          </w:p>
        </w:tc>
        <w:tc>
          <w:tcPr>
            <w:tcW w:type="dxa" w:w="2880"/>
            <w:tcBorders>
              <w:top w:val="single" w:color="C5CDD4" w:sz="4"/>
              <w:left w:val="single" w:color="C5CDD4" w:sz="4"/>
              <w:bottom w:val="single" w:color="C5CDD4" w:sz="4"/>
              <w:right w:val="single" w:color="C5CDD4" w:sz="4"/>
            </w:tcBorders>
            <w:shd w:fill="FFFFFF" w:val="clear"/>
            <w:tcMar>
              <w:top w:type="dxa" w:w="50"/>
              <w:left w:type="dxa" w:w="60"/>
              <w:bottom w:type="dxa" w:w="50"/>
              <w:right w:type="dxa" w:w="60"/>
            </w:tcMar>
            <w:vAlign w:val="top"/>
          </w:tcPr>
          <w:p>
            <w:pPr>
              <w:spacing w:after="0" w:line="220"/>
            </w:pPr>
            <w:hyperlink w:history="1" r:id="rIdvpksgznz468nc0wcxij_0">
              <w:r>
                <w:rPr>
                  <w:rFonts w:ascii="Calibri" w:cs="Calibri" w:eastAsia="Calibri" w:hAnsi="Calibri"/>
                  <w:color w:val="1B4F8A"/>
                  <w:sz w:val="15"/>
                  <w:szCs w:val="15"/>
                  <w:u w:val="single"/>
                </w:rPr>
                <w:t xml:space="preserve">isnr.org/guidelines-for-practice</w:t>
              </w:r>
            </w:hyperlink>
          </w:p>
        </w:tc>
      </w:tr>
      <w:tr>
        <w:tc>
          <w:tcPr>
            <w:tcW w:type="dxa" w:w="2400"/>
            <w:tcBorders>
              <w:top w:val="single" w:color="C5CDD4" w:sz="4"/>
              <w:left w:val="single" w:color="C5CDD4" w:sz="4"/>
              <w:bottom w:val="single" w:color="C5CDD4" w:sz="4"/>
              <w:right w:val="single" w:color="C5CDD4" w:sz="4"/>
            </w:tcBorders>
            <w:shd w:fill="F3F6F9" w:val="clear"/>
            <w:tcMar>
              <w:top w:type="dxa" w:w="50"/>
              <w:left w:type="dxa" w:w="60"/>
              <w:bottom w:type="dxa" w:w="50"/>
              <w:right w:type="dxa" w:w="60"/>
            </w:tcMar>
            <w:vAlign w:val="top"/>
          </w:tcPr>
          <w:p>
            <w:pPr>
              <w:spacing w:after="0" w:line="23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6"/>
                <w:szCs w:val="16"/>
              </w:rPr>
              <w:t xml:space="preserve">ISNR “What is Neurofeedback” / practice-guidelines page, Board-ratified 28 July 2024</w:t>
            </w:r>
          </w:p>
        </w:tc>
        <w:tc>
          <w:tcPr>
            <w:tcW w:type="dxa" w:w="1680"/>
            <w:tcBorders>
              <w:top w:val="single" w:color="C5CDD4" w:sz="4"/>
              <w:left w:val="single" w:color="C5CDD4" w:sz="4"/>
              <w:bottom w:val="single" w:color="C5CDD4" w:sz="4"/>
              <w:right w:val="single" w:color="C5CDD4" w:sz="4"/>
            </w:tcBorders>
            <w:shd w:fill="F3F6F9" w:val="clear"/>
            <w:tcMar>
              <w:top w:type="dxa" w:w="50"/>
              <w:left w:type="dxa" w:w="60"/>
              <w:bottom w:type="dxa" w:w="50"/>
              <w:right w:type="dxa" w:w="60"/>
            </w:tcMar>
            <w:vAlign w:val="top"/>
          </w:tcPr>
          <w:p>
            <w:pPr>
              <w:spacing w:after="0" w:line="23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6"/>
                <w:szCs w:val="16"/>
              </w:rPr>
              <w:t xml:space="preserve">Board-ratified society page</w:t>
            </w:r>
          </w:p>
        </w:tc>
        <w:tc>
          <w:tcPr>
            <w:tcW w:type="dxa" w:w="3720"/>
            <w:tcBorders>
              <w:top w:val="single" w:color="C5CDD4" w:sz="4"/>
              <w:left w:val="single" w:color="C5CDD4" w:sz="4"/>
              <w:bottom w:val="single" w:color="C5CDD4" w:sz="4"/>
              <w:right w:val="single" w:color="C5CDD4" w:sz="4"/>
            </w:tcBorders>
            <w:shd w:fill="F3F6F9" w:val="clear"/>
            <w:tcMar>
              <w:top w:type="dxa" w:w="50"/>
              <w:left w:type="dxa" w:w="60"/>
              <w:bottom w:type="dxa" w:w="50"/>
              <w:right w:type="dxa" w:w="60"/>
            </w:tcMar>
            <w:vAlign w:val="top"/>
          </w:tcPr>
          <w:p>
            <w:pPr>
              <w:spacing w:after="0" w:line="23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6"/>
                <w:szCs w:val="16"/>
              </w:rPr>
              <w:t xml:space="preserve">Current ISNR public definition and practice-guidance page, including equipment-sales language and licensed / unlicensed practice categories.</w:t>
            </w:r>
          </w:p>
        </w:tc>
        <w:tc>
          <w:tcPr>
            <w:tcW w:type="dxa" w:w="3720"/>
            <w:tcBorders>
              <w:top w:val="single" w:color="C5CDD4" w:sz="4"/>
              <w:left w:val="single" w:color="C5CDD4" w:sz="4"/>
              <w:bottom w:val="single" w:color="C5CDD4" w:sz="4"/>
              <w:right w:val="single" w:color="C5CDD4" w:sz="4"/>
            </w:tcBorders>
            <w:shd w:fill="F3F6F9" w:val="clear"/>
            <w:tcMar>
              <w:top w:type="dxa" w:w="50"/>
              <w:left w:type="dxa" w:w="60"/>
              <w:bottom w:type="dxa" w:w="50"/>
              <w:right w:type="dxa" w:w="60"/>
            </w:tcMar>
            <w:vAlign w:val="top"/>
          </w:tcPr>
          <w:p>
            <w:pPr>
              <w:spacing w:after="0" w:line="23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6"/>
                <w:szCs w:val="16"/>
              </w:rPr>
              <w:t xml:space="preserve">Not a membership-ratified Standard of Care. Category language on the page should be quoted carefully if reused.</w:t>
            </w:r>
          </w:p>
        </w:tc>
        <w:tc>
          <w:tcPr>
            <w:tcW w:type="dxa" w:w="2880"/>
            <w:tcBorders>
              <w:top w:val="single" w:color="C5CDD4" w:sz="4"/>
              <w:left w:val="single" w:color="C5CDD4" w:sz="4"/>
              <w:bottom w:val="single" w:color="C5CDD4" w:sz="4"/>
              <w:right w:val="single" w:color="C5CDD4" w:sz="4"/>
            </w:tcBorders>
            <w:shd w:fill="F3F6F9" w:val="clear"/>
            <w:tcMar>
              <w:top w:type="dxa" w:w="50"/>
              <w:left w:type="dxa" w:w="60"/>
              <w:bottom w:type="dxa" w:w="50"/>
              <w:right w:type="dxa" w:w="60"/>
            </w:tcMar>
            <w:vAlign w:val="top"/>
          </w:tcPr>
          <w:p>
            <w:pPr>
              <w:spacing w:after="0" w:line="220"/>
            </w:pPr>
            <w:hyperlink w:history="1" r:id="rIdxn1ausowr3vsynldndcs5">
              <w:r>
                <w:rPr>
                  <w:rFonts w:ascii="Calibri" w:cs="Calibri" w:eastAsia="Calibri" w:hAnsi="Calibri"/>
                  <w:color w:val="1B4F8A"/>
                  <w:sz w:val="15"/>
                  <w:szCs w:val="15"/>
                  <w:u w:val="single"/>
                </w:rPr>
                <w:t xml:space="preserve">isnr.org/what-is-neurofeedback</w:t>
              </w:r>
            </w:hyperlink>
          </w:p>
        </w:tc>
      </w:tr>
      <w:tr>
        <w:tc>
          <w:tcPr>
            <w:tcW w:type="dxa" w:w="2400"/>
            <w:tcBorders>
              <w:top w:val="single" w:color="C5CDD4" w:sz="4"/>
              <w:left w:val="single" w:color="C5CDD4" w:sz="4"/>
              <w:bottom w:val="single" w:color="C5CDD4" w:sz="4"/>
              <w:right w:val="single" w:color="C5CDD4" w:sz="4"/>
            </w:tcBorders>
            <w:shd w:fill="FFFFFF" w:val="clear"/>
            <w:tcMar>
              <w:top w:type="dxa" w:w="50"/>
              <w:left w:type="dxa" w:w="60"/>
              <w:bottom w:type="dxa" w:w="50"/>
              <w:right w:type="dxa" w:w="60"/>
            </w:tcMar>
            <w:vAlign w:val="top"/>
          </w:tcPr>
          <w:p>
            <w:pPr>
              <w:spacing w:after="0" w:line="23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6"/>
                <w:szCs w:val="16"/>
              </w:rPr>
              <w:t xml:space="preserve">ISNR Home / Remote Training Best Practices (document dated 15 September 2020)</w:t>
            </w:r>
          </w:p>
        </w:tc>
        <w:tc>
          <w:tcPr>
            <w:tcW w:type="dxa" w:w="1680"/>
            <w:tcBorders>
              <w:top w:val="single" w:color="C5CDD4" w:sz="4"/>
              <w:left w:val="single" w:color="C5CDD4" w:sz="4"/>
              <w:bottom w:val="single" w:color="C5CDD4" w:sz="4"/>
              <w:right w:val="single" w:color="C5CDD4" w:sz="4"/>
            </w:tcBorders>
            <w:shd w:fill="FFFFFF" w:val="clear"/>
            <w:tcMar>
              <w:top w:type="dxa" w:w="50"/>
              <w:left w:type="dxa" w:w="60"/>
              <w:bottom w:type="dxa" w:w="50"/>
              <w:right w:type="dxa" w:w="60"/>
            </w:tcMar>
            <w:vAlign w:val="top"/>
          </w:tcPr>
          <w:p>
            <w:pPr>
              <w:spacing w:after="0" w:line="23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6"/>
                <w:szCs w:val="16"/>
              </w:rPr>
              <w:t xml:space="preserve">Board-approved toolkit</w:t>
            </w:r>
          </w:p>
        </w:tc>
        <w:tc>
          <w:tcPr>
            <w:tcW w:type="dxa" w:w="3720"/>
            <w:tcBorders>
              <w:top w:val="single" w:color="C5CDD4" w:sz="4"/>
              <w:left w:val="single" w:color="C5CDD4" w:sz="4"/>
              <w:bottom w:val="single" w:color="C5CDD4" w:sz="4"/>
              <w:right w:val="single" w:color="C5CDD4" w:sz="4"/>
            </w:tcBorders>
            <w:shd w:fill="FFFFFF" w:val="clear"/>
            <w:tcMar>
              <w:top w:type="dxa" w:w="50"/>
              <w:left w:type="dxa" w:w="60"/>
              <w:bottom w:type="dxa" w:w="50"/>
              <w:right w:type="dxa" w:w="60"/>
            </w:tcMar>
            <w:vAlign w:val="top"/>
          </w:tcPr>
          <w:p>
            <w:pPr>
              <w:spacing w:after="0" w:line="23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6"/>
                <w:szCs w:val="16"/>
              </w:rPr>
              <w:t xml:space="preserve">Methodological, clinical, technical, and legal considerations for home and remote neurofeedback.</w:t>
            </w:r>
          </w:p>
        </w:tc>
        <w:tc>
          <w:tcPr>
            <w:tcW w:type="dxa" w:w="3720"/>
            <w:tcBorders>
              <w:top w:val="single" w:color="C5CDD4" w:sz="4"/>
              <w:left w:val="single" w:color="C5CDD4" w:sz="4"/>
              <w:bottom w:val="single" w:color="C5CDD4" w:sz="4"/>
              <w:right w:val="single" w:color="C5CDD4" w:sz="4"/>
            </w:tcBorders>
            <w:shd w:fill="FFFFFF" w:val="clear"/>
            <w:tcMar>
              <w:top w:type="dxa" w:w="50"/>
              <w:left w:type="dxa" w:w="60"/>
              <w:bottom w:type="dxa" w:w="50"/>
              <w:right w:type="dxa" w:w="60"/>
            </w:tcMar>
            <w:vAlign w:val="top"/>
          </w:tcPr>
          <w:p>
            <w:pPr>
              <w:spacing w:after="0" w:line="23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6"/>
                <w:szCs w:val="16"/>
              </w:rPr>
              <w:t xml:space="preserve">Not a general Standard of Care. Narrow scope.</w:t>
            </w:r>
          </w:p>
        </w:tc>
        <w:tc>
          <w:tcPr>
            <w:tcW w:type="dxa" w:w="2880"/>
            <w:tcBorders>
              <w:top w:val="single" w:color="C5CDD4" w:sz="4"/>
              <w:left w:val="single" w:color="C5CDD4" w:sz="4"/>
              <w:bottom w:val="single" w:color="C5CDD4" w:sz="4"/>
              <w:right w:val="single" w:color="C5CDD4" w:sz="4"/>
            </w:tcBorders>
            <w:shd w:fill="FFFFFF" w:val="clear"/>
            <w:tcMar>
              <w:top w:type="dxa" w:w="50"/>
              <w:left w:type="dxa" w:w="60"/>
              <w:bottom w:type="dxa" w:w="50"/>
              <w:right w:type="dxa" w:w="60"/>
            </w:tcMar>
            <w:vAlign w:val="top"/>
          </w:tcPr>
          <w:p>
            <w:pPr>
              <w:spacing w:after="0" w:line="220"/>
            </w:pPr>
            <w:hyperlink w:history="1" r:id="rIdyssaeojbznh28hkyzpoq1">
              <w:r>
                <w:rPr>
                  <w:rFonts w:ascii="Calibri" w:cs="Calibri" w:eastAsia="Calibri" w:hAnsi="Calibri"/>
                  <w:color w:val="1B4F8A"/>
                  <w:sz w:val="15"/>
                  <w:szCs w:val="15"/>
                  <w:u w:val="single"/>
                </w:rPr>
                <w:t xml:space="preserve">ISNR resources page</w:t>
              </w:r>
            </w:hyperlink>
          </w:p>
        </w:tc>
      </w:tr>
      <w:tr>
        <w:tc>
          <w:tcPr>
            <w:tcW w:type="dxa" w:w="2400"/>
            <w:tcBorders>
              <w:top w:val="single" w:color="C5CDD4" w:sz="4"/>
              <w:left w:val="single" w:color="C5CDD4" w:sz="4"/>
              <w:bottom w:val="single" w:color="C5CDD4" w:sz="4"/>
              <w:right w:val="single" w:color="C5CDD4" w:sz="4"/>
            </w:tcBorders>
            <w:shd w:fill="F3F6F9" w:val="clear"/>
            <w:tcMar>
              <w:top w:type="dxa" w:w="50"/>
              <w:left w:type="dxa" w:w="60"/>
              <w:bottom w:type="dxa" w:w="50"/>
              <w:right w:type="dxa" w:w="60"/>
            </w:tcMar>
            <w:vAlign w:val="top"/>
          </w:tcPr>
          <w:p>
            <w:pPr>
              <w:spacing w:after="0" w:line="23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6"/>
                <w:szCs w:val="16"/>
              </w:rPr>
              <w:t xml:space="preserve">BCIA Professional Standards and Ethical Principles of Biofeedback, 10th revision, adopted 2 May 2026 (original 26 August 1990; 9th revision 2 May 2016).</w:t>
            </w:r>
          </w:p>
        </w:tc>
        <w:tc>
          <w:tcPr>
            <w:tcW w:type="dxa" w:w="1680"/>
            <w:tcBorders>
              <w:top w:val="single" w:color="C5CDD4" w:sz="4"/>
              <w:left w:val="single" w:color="C5CDD4" w:sz="4"/>
              <w:bottom w:val="single" w:color="C5CDD4" w:sz="4"/>
              <w:right w:val="single" w:color="C5CDD4" w:sz="4"/>
            </w:tcBorders>
            <w:shd w:fill="F3F6F9" w:val="clear"/>
            <w:tcMar>
              <w:top w:type="dxa" w:w="50"/>
              <w:left w:type="dxa" w:w="60"/>
              <w:bottom w:type="dxa" w:w="50"/>
              <w:right w:type="dxa" w:w="60"/>
            </w:tcMar>
            <w:vAlign w:val="top"/>
          </w:tcPr>
          <w:p>
            <w:pPr>
              <w:spacing w:after="0" w:line="23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6"/>
                <w:szCs w:val="16"/>
              </w:rPr>
              <w:t xml:space="preserve">Certification ethics</w:t>
            </w:r>
          </w:p>
        </w:tc>
        <w:tc>
          <w:tcPr>
            <w:tcW w:type="dxa" w:w="3720"/>
            <w:tcBorders>
              <w:top w:val="single" w:color="C5CDD4" w:sz="4"/>
              <w:left w:val="single" w:color="C5CDD4" w:sz="4"/>
              <w:bottom w:val="single" w:color="C5CDD4" w:sz="4"/>
              <w:right w:val="single" w:color="C5CDD4" w:sz="4"/>
            </w:tcBorders>
            <w:shd w:fill="F3F6F9" w:val="clear"/>
            <w:tcMar>
              <w:top w:type="dxa" w:w="50"/>
              <w:left w:type="dxa" w:w="60"/>
              <w:bottom w:type="dxa" w:w="50"/>
              <w:right w:type="dxa" w:w="60"/>
            </w:tcMar>
            <w:vAlign w:val="top"/>
          </w:tcPr>
          <w:p>
            <w:pPr>
              <w:spacing w:after="0" w:line="23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6"/>
                <w:szCs w:val="16"/>
              </w:rPr>
              <w:t xml:space="preserve">Living ethics document for BCIA certificants and applicants, used beside the ethics of the primary profession and state law. States that certification is not a license to practice independently. Written consent required for assessment, treatment, and experimental applications.</w:t>
            </w:r>
          </w:p>
        </w:tc>
        <w:tc>
          <w:tcPr>
            <w:tcW w:type="dxa" w:w="3720"/>
            <w:tcBorders>
              <w:top w:val="single" w:color="C5CDD4" w:sz="4"/>
              <w:left w:val="single" w:color="C5CDD4" w:sz="4"/>
              <w:bottom w:val="single" w:color="C5CDD4" w:sz="4"/>
              <w:right w:val="single" w:color="C5CDD4" w:sz="4"/>
            </w:tcBorders>
            <w:shd w:fill="F3F6F9" w:val="clear"/>
            <w:tcMar>
              <w:top w:type="dxa" w:w="50"/>
              <w:left w:type="dxa" w:w="60"/>
              <w:bottom w:type="dxa" w:w="50"/>
              <w:right w:type="dxa" w:w="60"/>
            </w:tcMar>
            <w:vAlign w:val="top"/>
          </w:tcPr>
          <w:p>
            <w:pPr>
              <w:spacing w:after="0" w:line="23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6"/>
                <w:szCs w:val="16"/>
              </w:rPr>
              <w:t xml:space="preserve">Not a field-wide Standard of Care. Not a substitute for a state license.</w:t>
            </w:r>
          </w:p>
        </w:tc>
        <w:tc>
          <w:tcPr>
            <w:tcW w:type="dxa" w:w="2880"/>
            <w:tcBorders>
              <w:top w:val="single" w:color="C5CDD4" w:sz="4"/>
              <w:left w:val="single" w:color="C5CDD4" w:sz="4"/>
              <w:bottom w:val="single" w:color="C5CDD4" w:sz="4"/>
              <w:right w:val="single" w:color="C5CDD4" w:sz="4"/>
            </w:tcBorders>
            <w:shd w:fill="F3F6F9" w:val="clear"/>
            <w:tcMar>
              <w:top w:type="dxa" w:w="50"/>
              <w:left w:type="dxa" w:w="60"/>
              <w:bottom w:type="dxa" w:w="50"/>
              <w:right w:type="dxa" w:w="60"/>
            </w:tcMar>
            <w:vAlign w:val="top"/>
          </w:tcPr>
          <w:p>
            <w:pPr>
              <w:spacing w:after="30" w:line="220"/>
            </w:pPr>
            <w:hyperlink w:history="1" r:id="rIdrpdwz-rtnvb-yxumv9uvn">
              <w:r>
                <w:rPr>
                  <w:rFonts w:ascii="Calibri" w:cs="Calibri" w:eastAsia="Calibri" w:hAnsi="Calibri"/>
                  <w:color w:val="1B4F8A"/>
                  <w:sz w:val="15"/>
                  <w:szCs w:val="15"/>
                  <w:u w:val="single"/>
                </w:rPr>
                <w:t xml:space="preserve">PSEP PDF</w:t>
              </w:r>
            </w:hyperlink>
          </w:p>
          <w:p>
            <w:pPr>
              <w:spacing w:after="0" w:line="220"/>
            </w:pPr>
            <w:hyperlink w:history="1" r:id="rIdpywt4bnaxzuegspmvxkvr">
              <w:r>
                <w:rPr>
                  <w:rFonts w:ascii="Calibri" w:cs="Calibri" w:eastAsia="Calibri" w:hAnsi="Calibri"/>
                  <w:color w:val="1B4F8A"/>
                  <w:sz w:val="15"/>
                  <w:szCs w:val="15"/>
                  <w:u w:val="single"/>
                </w:rPr>
                <w:t xml:space="preserve">BCIA PSEP page</w:t>
              </w:r>
            </w:hyperlink>
          </w:p>
        </w:tc>
      </w:tr>
      <w:tr>
        <w:tc>
          <w:tcPr>
            <w:tcW w:type="dxa" w:w="2400"/>
            <w:tcBorders>
              <w:top w:val="single" w:color="C5CDD4" w:sz="4"/>
              <w:left w:val="single" w:color="C5CDD4" w:sz="4"/>
              <w:bottom w:val="single" w:color="C5CDD4" w:sz="4"/>
              <w:right w:val="single" w:color="C5CDD4" w:sz="4"/>
            </w:tcBorders>
            <w:shd w:fill="FFFFFF" w:val="clear"/>
            <w:tcMar>
              <w:top w:type="dxa" w:w="50"/>
              <w:left w:type="dxa" w:w="60"/>
              <w:bottom w:type="dxa" w:w="50"/>
              <w:right w:type="dxa" w:w="60"/>
            </w:tcMar>
            <w:vAlign w:val="top"/>
          </w:tcPr>
          <w:p>
            <w:pPr>
              <w:spacing w:after="0" w:line="23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6"/>
                <w:szCs w:val="16"/>
              </w:rPr>
              <w:t xml:space="preserve">BCIA Neurofeedback entry-level certification (BCN), Blueprint of Knowledge, and mentoring requirements</w:t>
            </w:r>
          </w:p>
        </w:tc>
        <w:tc>
          <w:tcPr>
            <w:tcW w:type="dxa" w:w="1680"/>
            <w:tcBorders>
              <w:top w:val="single" w:color="C5CDD4" w:sz="4"/>
              <w:left w:val="single" w:color="C5CDD4" w:sz="4"/>
              <w:bottom w:val="single" w:color="C5CDD4" w:sz="4"/>
              <w:right w:val="single" w:color="C5CDD4" w:sz="4"/>
            </w:tcBorders>
            <w:shd w:fill="FFFFFF" w:val="clear"/>
            <w:tcMar>
              <w:top w:type="dxa" w:w="50"/>
              <w:left w:type="dxa" w:w="60"/>
              <w:bottom w:type="dxa" w:w="50"/>
              <w:right w:type="dxa" w:w="60"/>
            </w:tcMar>
            <w:vAlign w:val="top"/>
          </w:tcPr>
          <w:p>
            <w:pPr>
              <w:spacing w:after="0" w:line="23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6"/>
                <w:szCs w:val="16"/>
              </w:rPr>
              <w:t xml:space="preserve">Voluntary certification standard</w:t>
            </w:r>
          </w:p>
        </w:tc>
        <w:tc>
          <w:tcPr>
            <w:tcW w:type="dxa" w:w="3720"/>
            <w:tcBorders>
              <w:top w:val="single" w:color="C5CDD4" w:sz="4"/>
              <w:left w:val="single" w:color="C5CDD4" w:sz="4"/>
              <w:bottom w:val="single" w:color="C5CDD4" w:sz="4"/>
              <w:right w:val="single" w:color="C5CDD4" w:sz="4"/>
            </w:tcBorders>
            <w:shd w:fill="FFFFFF" w:val="clear"/>
            <w:tcMar>
              <w:top w:type="dxa" w:w="50"/>
              <w:left w:type="dxa" w:w="60"/>
              <w:bottom w:type="dxa" w:w="50"/>
              <w:right w:type="dxa" w:w="60"/>
            </w:tcMar>
            <w:vAlign w:val="top"/>
          </w:tcPr>
          <w:p>
            <w:pPr>
              <w:spacing w:after="0" w:line="23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6"/>
                <w:szCs w:val="16"/>
              </w:rPr>
              <w:t xml:space="preserve">36-hour didactic blueprint; separate neuroanatomy course; 25 mentor hours covering 10 personal sessions, 100 client sessions, and 10 case presentations; examination; four-year recertification with continuing education including ethics. Pathways distinguish licensed, performance, and technician designations.</w:t>
            </w:r>
          </w:p>
        </w:tc>
        <w:tc>
          <w:tcPr>
            <w:tcW w:type="dxa" w:w="3720"/>
            <w:tcBorders>
              <w:top w:val="single" w:color="C5CDD4" w:sz="4"/>
              <w:left w:val="single" w:color="C5CDD4" w:sz="4"/>
              <w:bottom w:val="single" w:color="C5CDD4" w:sz="4"/>
              <w:right w:val="single" w:color="C5CDD4" w:sz="4"/>
            </w:tcBorders>
            <w:shd w:fill="FFFFFF" w:val="clear"/>
            <w:tcMar>
              <w:top w:type="dxa" w:w="50"/>
              <w:left w:type="dxa" w:w="60"/>
              <w:bottom w:type="dxa" w:w="50"/>
              <w:right w:type="dxa" w:w="60"/>
            </w:tcMar>
            <w:vAlign w:val="top"/>
          </w:tcPr>
          <w:p>
            <w:pPr>
              <w:spacing w:after="0" w:line="23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6"/>
                <w:szCs w:val="16"/>
              </w:rPr>
              <w:t xml:space="preserve">Not a license. Not legally required to practice. Does not enlarge statutory scope.</w:t>
            </w:r>
          </w:p>
        </w:tc>
        <w:tc>
          <w:tcPr>
            <w:tcW w:type="dxa" w:w="2880"/>
            <w:tcBorders>
              <w:top w:val="single" w:color="C5CDD4" w:sz="4"/>
              <w:left w:val="single" w:color="C5CDD4" w:sz="4"/>
              <w:bottom w:val="single" w:color="C5CDD4" w:sz="4"/>
              <w:right w:val="single" w:color="C5CDD4" w:sz="4"/>
            </w:tcBorders>
            <w:shd w:fill="FFFFFF" w:val="clear"/>
            <w:tcMar>
              <w:top w:type="dxa" w:w="50"/>
              <w:left w:type="dxa" w:w="60"/>
              <w:bottom w:type="dxa" w:w="50"/>
              <w:right w:type="dxa" w:w="60"/>
            </w:tcMar>
            <w:vAlign w:val="top"/>
          </w:tcPr>
          <w:p>
            <w:pPr>
              <w:spacing w:after="0" w:line="220"/>
            </w:pPr>
            <w:hyperlink w:history="1" r:id="rIdnksskkybeowmdksfpizqb">
              <w:r>
                <w:rPr>
                  <w:rFonts w:ascii="Calibri" w:cs="Calibri" w:eastAsia="Calibri" w:hAnsi="Calibri"/>
                  <w:color w:val="1B4F8A"/>
                  <w:sz w:val="15"/>
                  <w:szCs w:val="15"/>
                  <w:u w:val="single"/>
                </w:rPr>
                <w:t xml:space="preserve">bcia.org/nf-entry-level</w:t>
              </w:r>
            </w:hyperlink>
          </w:p>
        </w:tc>
      </w:tr>
      <w:tr>
        <w:tc>
          <w:tcPr>
            <w:tcW w:type="dxa" w:w="2400"/>
            <w:tcBorders>
              <w:top w:val="single" w:color="C5CDD4" w:sz="4"/>
              <w:left w:val="single" w:color="C5CDD4" w:sz="4"/>
              <w:bottom w:val="single" w:color="C5CDD4" w:sz="4"/>
              <w:right w:val="single" w:color="C5CDD4" w:sz="4"/>
            </w:tcBorders>
            <w:shd w:fill="F3F6F9" w:val="clear"/>
            <w:tcMar>
              <w:top w:type="dxa" w:w="50"/>
              <w:left w:type="dxa" w:w="60"/>
              <w:bottom w:type="dxa" w:w="50"/>
              <w:right w:type="dxa" w:w="60"/>
            </w:tcMar>
            <w:vAlign w:val="top"/>
          </w:tcPr>
          <w:p>
            <w:pPr>
              <w:spacing w:after="0" w:line="23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6"/>
                <w:szCs w:val="16"/>
              </w:rPr>
              <w:t xml:space="preserve">AAPB Standards Committee (2013; Richard Sherman, chair). Standards for Performing Biofeedback.</w:t>
            </w:r>
          </w:p>
        </w:tc>
        <w:tc>
          <w:tcPr>
            <w:tcW w:type="dxa" w:w="1680"/>
            <w:tcBorders>
              <w:top w:val="single" w:color="C5CDD4" w:sz="4"/>
              <w:left w:val="single" w:color="C5CDD4" w:sz="4"/>
              <w:bottom w:val="single" w:color="C5CDD4" w:sz="4"/>
              <w:right w:val="single" w:color="C5CDD4" w:sz="4"/>
            </w:tcBorders>
            <w:shd w:fill="F3F6F9" w:val="clear"/>
            <w:tcMar>
              <w:top w:type="dxa" w:w="50"/>
              <w:left w:type="dxa" w:w="60"/>
              <w:bottom w:type="dxa" w:w="50"/>
              <w:right w:type="dxa" w:w="60"/>
            </w:tcMar>
            <w:vAlign w:val="top"/>
          </w:tcPr>
          <w:p>
            <w:pPr>
              <w:spacing w:after="0" w:line="23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6"/>
                <w:szCs w:val="16"/>
              </w:rPr>
              <w:t xml:space="preserve">Association standards intended for all providers</w:t>
            </w:r>
          </w:p>
        </w:tc>
        <w:tc>
          <w:tcPr>
            <w:tcW w:type="dxa" w:w="3720"/>
            <w:tcBorders>
              <w:top w:val="single" w:color="C5CDD4" w:sz="4"/>
              <w:left w:val="single" w:color="C5CDD4" w:sz="4"/>
              <w:bottom w:val="single" w:color="C5CDD4" w:sz="4"/>
              <w:right w:val="single" w:color="C5CDD4" w:sz="4"/>
            </w:tcBorders>
            <w:shd w:fill="F3F6F9" w:val="clear"/>
            <w:tcMar>
              <w:top w:type="dxa" w:w="50"/>
              <w:left w:type="dxa" w:w="60"/>
              <w:bottom w:type="dxa" w:w="50"/>
              <w:right w:type="dxa" w:w="60"/>
            </w:tcMar>
            <w:vAlign w:val="top"/>
          </w:tcPr>
          <w:p>
            <w:pPr>
              <w:spacing w:after="0" w:line="23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6"/>
                <w:szCs w:val="16"/>
              </w:rPr>
              <w:t xml:space="preserve">AAPB intends these to apply to every provider of biofeedback-related services, member or not. Urges BCIA certification. States it is neither ethical nor appropriate to identify as a “biofeedback therapist.” Technician work requires on-site supervision.</w:t>
            </w:r>
          </w:p>
        </w:tc>
        <w:tc>
          <w:tcPr>
            <w:tcW w:type="dxa" w:w="3720"/>
            <w:tcBorders>
              <w:top w:val="single" w:color="C5CDD4" w:sz="4"/>
              <w:left w:val="single" w:color="C5CDD4" w:sz="4"/>
              <w:bottom w:val="single" w:color="C5CDD4" w:sz="4"/>
              <w:right w:val="single" w:color="C5CDD4" w:sz="4"/>
            </w:tcBorders>
            <w:shd w:fill="F3F6F9" w:val="clear"/>
            <w:tcMar>
              <w:top w:type="dxa" w:w="50"/>
              <w:left w:type="dxa" w:w="60"/>
              <w:bottom w:type="dxa" w:w="50"/>
              <w:right w:type="dxa" w:w="60"/>
            </w:tcMar>
            <w:vAlign w:val="top"/>
          </w:tcPr>
          <w:p>
            <w:pPr>
              <w:spacing w:after="0" w:line="23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6"/>
                <w:szCs w:val="16"/>
              </w:rPr>
              <w:t xml:space="preserve">Not a statute. Not a neurofeedback-only Standard of Care.</w:t>
            </w:r>
          </w:p>
        </w:tc>
        <w:tc>
          <w:tcPr>
            <w:tcW w:type="dxa" w:w="2880"/>
            <w:tcBorders>
              <w:top w:val="single" w:color="C5CDD4" w:sz="4"/>
              <w:left w:val="single" w:color="C5CDD4" w:sz="4"/>
              <w:bottom w:val="single" w:color="C5CDD4" w:sz="4"/>
              <w:right w:val="single" w:color="C5CDD4" w:sz="4"/>
            </w:tcBorders>
            <w:shd w:fill="F3F6F9" w:val="clear"/>
            <w:tcMar>
              <w:top w:type="dxa" w:w="50"/>
              <w:left w:type="dxa" w:w="60"/>
              <w:bottom w:type="dxa" w:w="50"/>
              <w:right w:type="dxa" w:w="60"/>
            </w:tcMar>
            <w:vAlign w:val="top"/>
          </w:tcPr>
          <w:p>
            <w:pPr>
              <w:spacing w:after="0" w:line="220"/>
            </w:pPr>
            <w:hyperlink w:history="1" r:id="rIdjy5qmvy_zqjpnudgjapmx">
              <w:r>
                <w:rPr>
                  <w:rFonts w:ascii="Calibri" w:cs="Calibri" w:eastAsia="Calibri" w:hAnsi="Calibri"/>
                  <w:color w:val="1B4F8A"/>
                  <w:sz w:val="15"/>
                  <w:szCs w:val="15"/>
                  <w:u w:val="single"/>
                </w:rPr>
                <w:t xml:space="preserve">aapb.org/Standards_for_Performing_Biofeedback</w:t>
              </w:r>
            </w:hyperlink>
          </w:p>
        </w:tc>
      </w:tr>
      <w:tr>
        <w:tc>
          <w:tcPr>
            <w:tcW w:type="dxa" w:w="2400"/>
            <w:tcBorders>
              <w:top w:val="single" w:color="C5CDD4" w:sz="4"/>
              <w:left w:val="single" w:color="C5CDD4" w:sz="4"/>
              <w:bottom w:val="single" w:color="C5CDD4" w:sz="4"/>
              <w:right w:val="single" w:color="C5CDD4" w:sz="4"/>
            </w:tcBorders>
            <w:shd w:fill="FFFFFF" w:val="clear"/>
            <w:tcMar>
              <w:top w:type="dxa" w:w="50"/>
              <w:left w:type="dxa" w:w="60"/>
              <w:bottom w:type="dxa" w:w="50"/>
              <w:right w:type="dxa" w:w="60"/>
            </w:tcMar>
            <w:vAlign w:val="top"/>
          </w:tcPr>
          <w:p>
            <w:pPr>
              <w:spacing w:after="0" w:line="23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6"/>
                <w:szCs w:val="16"/>
              </w:rPr>
              <w:t xml:space="preserve">AAPB Code of Ethics (page dated 2 December 2016)</w:t>
            </w:r>
          </w:p>
        </w:tc>
        <w:tc>
          <w:tcPr>
            <w:tcW w:type="dxa" w:w="1680"/>
            <w:tcBorders>
              <w:top w:val="single" w:color="C5CDD4" w:sz="4"/>
              <w:left w:val="single" w:color="C5CDD4" w:sz="4"/>
              <w:bottom w:val="single" w:color="C5CDD4" w:sz="4"/>
              <w:right w:val="single" w:color="C5CDD4" w:sz="4"/>
            </w:tcBorders>
            <w:shd w:fill="FFFFFF" w:val="clear"/>
            <w:tcMar>
              <w:top w:type="dxa" w:w="50"/>
              <w:left w:type="dxa" w:w="60"/>
              <w:bottom w:type="dxa" w:w="50"/>
              <w:right w:type="dxa" w:w="60"/>
            </w:tcMar>
            <w:vAlign w:val="top"/>
          </w:tcPr>
          <w:p>
            <w:pPr>
              <w:spacing w:after="0" w:line="23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6"/>
                <w:szCs w:val="16"/>
              </w:rPr>
              <w:t xml:space="preserve">Ethics code</w:t>
            </w:r>
          </w:p>
        </w:tc>
        <w:tc>
          <w:tcPr>
            <w:tcW w:type="dxa" w:w="3720"/>
            <w:tcBorders>
              <w:top w:val="single" w:color="C5CDD4" w:sz="4"/>
              <w:left w:val="single" w:color="C5CDD4" w:sz="4"/>
              <w:bottom w:val="single" w:color="C5CDD4" w:sz="4"/>
              <w:right w:val="single" w:color="C5CDD4" w:sz="4"/>
            </w:tcBorders>
            <w:shd w:fill="FFFFFF" w:val="clear"/>
            <w:tcMar>
              <w:top w:type="dxa" w:w="50"/>
              <w:left w:type="dxa" w:w="60"/>
              <w:bottom w:type="dxa" w:w="50"/>
              <w:right w:type="dxa" w:w="60"/>
            </w:tcMar>
            <w:vAlign w:val="top"/>
          </w:tcPr>
          <w:p>
            <w:pPr>
              <w:spacing w:after="0" w:line="23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6"/>
                <w:szCs w:val="16"/>
              </w:rPr>
              <w:t xml:space="preserve">Member ethics: autonomy, non-maleficence, beneficence, justice, fidelity, veracity. Written consent required for non-validated procedures.</w:t>
            </w:r>
          </w:p>
        </w:tc>
        <w:tc>
          <w:tcPr>
            <w:tcW w:type="dxa" w:w="3720"/>
            <w:tcBorders>
              <w:top w:val="single" w:color="C5CDD4" w:sz="4"/>
              <w:left w:val="single" w:color="C5CDD4" w:sz="4"/>
              <w:bottom w:val="single" w:color="C5CDD4" w:sz="4"/>
              <w:right w:val="single" w:color="C5CDD4" w:sz="4"/>
            </w:tcBorders>
            <w:shd w:fill="FFFFFF" w:val="clear"/>
            <w:tcMar>
              <w:top w:type="dxa" w:w="50"/>
              <w:left w:type="dxa" w:w="60"/>
              <w:bottom w:type="dxa" w:w="50"/>
              <w:right w:type="dxa" w:w="60"/>
            </w:tcMar>
            <w:vAlign w:val="top"/>
          </w:tcPr>
          <w:p>
            <w:pPr>
              <w:spacing w:after="0" w:line="23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6"/>
                <w:szCs w:val="16"/>
              </w:rPr>
              <w:t xml:space="preserve">Not a neurofeedback Standard of Care. Applies to AAPB members.</w:t>
            </w:r>
          </w:p>
        </w:tc>
        <w:tc>
          <w:tcPr>
            <w:tcW w:type="dxa" w:w="2880"/>
            <w:tcBorders>
              <w:top w:val="single" w:color="C5CDD4" w:sz="4"/>
              <w:left w:val="single" w:color="C5CDD4" w:sz="4"/>
              <w:bottom w:val="single" w:color="C5CDD4" w:sz="4"/>
              <w:right w:val="single" w:color="C5CDD4" w:sz="4"/>
            </w:tcBorders>
            <w:shd w:fill="FFFFFF" w:val="clear"/>
            <w:tcMar>
              <w:top w:type="dxa" w:w="50"/>
              <w:left w:type="dxa" w:w="60"/>
              <w:bottom w:type="dxa" w:w="50"/>
              <w:right w:type="dxa" w:w="60"/>
            </w:tcMar>
            <w:vAlign w:val="top"/>
          </w:tcPr>
          <w:p>
            <w:pPr>
              <w:spacing w:after="0" w:line="220"/>
            </w:pPr>
            <w:hyperlink w:history="1" r:id="rIdvjpkfv0mabhyvahgetqge">
              <w:r>
                <w:rPr>
                  <w:rFonts w:ascii="Calibri" w:cs="Calibri" w:eastAsia="Calibri" w:hAnsi="Calibri"/>
                  <w:color w:val="1B4F8A"/>
                  <w:sz w:val="15"/>
                  <w:szCs w:val="15"/>
                  <w:u w:val="single"/>
                </w:rPr>
                <w:t xml:space="preserve">aapb.org/Code_of_Ethics</w:t>
              </w:r>
            </w:hyperlink>
          </w:p>
        </w:tc>
      </w:tr>
      <w:tr>
        <w:tc>
          <w:tcPr>
            <w:tcW w:type="dxa" w:w="2400"/>
            <w:tcBorders>
              <w:top w:val="single" w:color="C5CDD4" w:sz="4"/>
              <w:left w:val="single" w:color="C5CDD4" w:sz="4"/>
              <w:bottom w:val="single" w:color="C5CDD4" w:sz="4"/>
              <w:right w:val="single" w:color="C5CDD4" w:sz="4"/>
            </w:tcBorders>
            <w:shd w:fill="F3F6F9" w:val="clear"/>
            <w:tcMar>
              <w:top w:type="dxa" w:w="50"/>
              <w:left w:type="dxa" w:w="60"/>
              <w:bottom w:type="dxa" w:w="50"/>
              <w:right w:type="dxa" w:w="60"/>
            </w:tcMar>
            <w:vAlign w:val="top"/>
          </w:tcPr>
          <w:p>
            <w:pPr>
              <w:spacing w:after="0" w:line="23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6"/>
                <w:szCs w:val="16"/>
              </w:rPr>
              <w:t xml:space="preserve">AAPB and ISNR. Evidence-Based Practice in Biofeedback and Neurofeedback, 4th edition (2023).</w:t>
            </w:r>
          </w:p>
        </w:tc>
        <w:tc>
          <w:tcPr>
            <w:tcW w:type="dxa" w:w="1680"/>
            <w:tcBorders>
              <w:top w:val="single" w:color="C5CDD4" w:sz="4"/>
              <w:left w:val="single" w:color="C5CDD4" w:sz="4"/>
              <w:bottom w:val="single" w:color="C5CDD4" w:sz="4"/>
              <w:right w:val="single" w:color="C5CDD4" w:sz="4"/>
            </w:tcBorders>
            <w:shd w:fill="F3F6F9" w:val="clear"/>
            <w:tcMar>
              <w:top w:type="dxa" w:w="50"/>
              <w:left w:type="dxa" w:w="60"/>
              <w:bottom w:type="dxa" w:w="50"/>
              <w:right w:type="dxa" w:w="60"/>
            </w:tcMar>
            <w:vAlign w:val="top"/>
          </w:tcPr>
          <w:p>
            <w:pPr>
              <w:spacing w:after="0" w:line="23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6"/>
                <w:szCs w:val="16"/>
              </w:rPr>
              <w:t xml:space="preserve">Condition-by-condition efficacy ratings</w:t>
            </w:r>
          </w:p>
        </w:tc>
        <w:tc>
          <w:tcPr>
            <w:tcW w:type="dxa" w:w="3720"/>
            <w:tcBorders>
              <w:top w:val="single" w:color="C5CDD4" w:sz="4"/>
              <w:left w:val="single" w:color="C5CDD4" w:sz="4"/>
              <w:bottom w:val="single" w:color="C5CDD4" w:sz="4"/>
              <w:right w:val="single" w:color="C5CDD4" w:sz="4"/>
            </w:tcBorders>
            <w:shd w:fill="F3F6F9" w:val="clear"/>
            <w:tcMar>
              <w:top w:type="dxa" w:w="50"/>
              <w:left w:type="dxa" w:w="60"/>
              <w:bottom w:type="dxa" w:w="50"/>
              <w:right w:type="dxa" w:w="60"/>
            </w:tcMar>
            <w:vAlign w:val="top"/>
          </w:tcPr>
          <w:p>
            <w:pPr>
              <w:spacing w:after="0" w:line="23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6"/>
                <w:szCs w:val="16"/>
              </w:rPr>
              <w:t xml:space="preserve">Field-internal ratings on a 1–5 scale derived from the 2002 LaVaque task force. Ratings vary by condition and modality.</w:t>
            </w:r>
          </w:p>
        </w:tc>
        <w:tc>
          <w:tcPr>
            <w:tcW w:type="dxa" w:w="3720"/>
            <w:tcBorders>
              <w:top w:val="single" w:color="C5CDD4" w:sz="4"/>
              <w:left w:val="single" w:color="C5CDD4" w:sz="4"/>
              <w:bottom w:val="single" w:color="C5CDD4" w:sz="4"/>
              <w:right w:val="single" w:color="C5CDD4" w:sz="4"/>
            </w:tcBorders>
            <w:shd w:fill="F3F6F9" w:val="clear"/>
            <w:tcMar>
              <w:top w:type="dxa" w:w="50"/>
              <w:left w:type="dxa" w:w="60"/>
              <w:bottom w:type="dxa" w:w="50"/>
              <w:right w:type="dxa" w:w="60"/>
            </w:tcMar>
            <w:vAlign w:val="top"/>
          </w:tcPr>
          <w:p>
            <w:pPr>
              <w:spacing w:after="0" w:line="23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6"/>
                <w:szCs w:val="16"/>
              </w:rPr>
              <w:t xml:space="preserve">Not a practice Standard of Care. Not a substitute for external systematic reviews. Do not headline condition ratings as universal medical consensus.</w:t>
            </w:r>
          </w:p>
        </w:tc>
        <w:tc>
          <w:tcPr>
            <w:tcW w:type="dxa" w:w="2880"/>
            <w:tcBorders>
              <w:top w:val="single" w:color="C5CDD4" w:sz="4"/>
              <w:left w:val="single" w:color="C5CDD4" w:sz="4"/>
              <w:bottom w:val="single" w:color="C5CDD4" w:sz="4"/>
              <w:right w:val="single" w:color="C5CDD4" w:sz="4"/>
            </w:tcBorders>
            <w:shd w:fill="F3F6F9" w:val="clear"/>
            <w:tcMar>
              <w:top w:type="dxa" w:w="50"/>
              <w:left w:type="dxa" w:w="60"/>
              <w:bottom w:type="dxa" w:w="50"/>
              <w:right w:type="dxa" w:w="60"/>
            </w:tcMar>
            <w:vAlign w:val="top"/>
          </w:tcPr>
          <w:p>
            <w:pPr>
              <w:spacing w:after="0" w:line="220"/>
            </w:pPr>
            <w:hyperlink w:history="1" r:id="rIdq7mdsb3ypd1lkasjdjdao">
              <w:r>
                <w:rPr>
                  <w:rFonts w:ascii="Calibri" w:cs="Calibri" w:eastAsia="Calibri" w:hAnsi="Calibri"/>
                  <w:color w:val="1B4F8A"/>
                  <w:sz w:val="15"/>
                  <w:szCs w:val="15"/>
                  <w:u w:val="single"/>
                </w:rPr>
                <w:t xml:space="preserve">AAPB publications</w:t>
              </w:r>
            </w:hyperlink>
          </w:p>
        </w:tc>
      </w:tr>
      <w:tr>
        <w:tc>
          <w:tcPr>
            <w:tcW w:type="dxa" w:w="2400"/>
            <w:tcBorders>
              <w:top w:val="single" w:color="C5CDD4" w:sz="4"/>
              <w:left w:val="single" w:color="C5CDD4" w:sz="4"/>
              <w:bottom w:val="single" w:color="C5CDD4" w:sz="4"/>
              <w:right w:val="single" w:color="C5CDD4" w:sz="4"/>
            </w:tcBorders>
            <w:shd w:fill="FFFFFF" w:val="clear"/>
            <w:tcMar>
              <w:top w:type="dxa" w:w="50"/>
              <w:left w:type="dxa" w:w="60"/>
              <w:bottom w:type="dxa" w:w="50"/>
              <w:right w:type="dxa" w:w="60"/>
            </w:tcMar>
            <w:vAlign w:val="top"/>
          </w:tcPr>
          <w:p>
            <w:pPr>
              <w:spacing w:after="0" w:line="23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6"/>
                <w:szCs w:val="16"/>
              </w:rPr>
              <w:t xml:space="preserve">IEEE Std 2010-2023. Recommended Practice for Electroencephalography (EEG) Neurofeedback Systems. Published 11 July 2023; supersedes 2010-2012.</w:t>
            </w:r>
          </w:p>
        </w:tc>
        <w:tc>
          <w:tcPr>
            <w:tcW w:type="dxa" w:w="1680"/>
            <w:tcBorders>
              <w:top w:val="single" w:color="C5CDD4" w:sz="4"/>
              <w:left w:val="single" w:color="C5CDD4" w:sz="4"/>
              <w:bottom w:val="single" w:color="C5CDD4" w:sz="4"/>
              <w:right w:val="single" w:color="C5CDD4" w:sz="4"/>
            </w:tcBorders>
            <w:shd w:fill="FFFFFF" w:val="clear"/>
            <w:tcMar>
              <w:top w:type="dxa" w:w="50"/>
              <w:left w:type="dxa" w:w="60"/>
              <w:bottom w:type="dxa" w:w="50"/>
              <w:right w:type="dxa" w:w="60"/>
            </w:tcMar>
            <w:vAlign w:val="top"/>
          </w:tcPr>
          <w:p>
            <w:pPr>
              <w:spacing w:after="0" w:line="23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6"/>
                <w:szCs w:val="16"/>
              </w:rPr>
              <w:t xml:space="preserve">Equipment / documentation standard</w:t>
            </w:r>
          </w:p>
        </w:tc>
        <w:tc>
          <w:tcPr>
            <w:tcW w:type="dxa" w:w="3720"/>
            <w:tcBorders>
              <w:top w:val="single" w:color="C5CDD4" w:sz="4"/>
              <w:left w:val="single" w:color="C5CDD4" w:sz="4"/>
              <w:bottom w:val="single" w:color="C5CDD4" w:sz="4"/>
              <w:right w:val="single" w:color="C5CDD4" w:sz="4"/>
            </w:tcBorders>
            <w:shd w:fill="FFFFFF" w:val="clear"/>
            <w:tcMar>
              <w:top w:type="dxa" w:w="50"/>
              <w:left w:type="dxa" w:w="60"/>
              <w:bottom w:type="dxa" w:w="50"/>
              <w:right w:type="dxa" w:w="60"/>
            </w:tcMar>
            <w:vAlign w:val="top"/>
          </w:tcPr>
          <w:p>
            <w:pPr>
              <w:spacing w:after="0" w:line="23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6"/>
                <w:szCs w:val="16"/>
              </w:rPr>
              <w:t xml:space="preserve">Minimum documentation so conforming EEG neurofeedback systems and software give users clear, quality information. Recognized in FDA consensus-standard lists for certain device categories.</w:t>
            </w:r>
          </w:p>
        </w:tc>
        <w:tc>
          <w:tcPr>
            <w:tcW w:type="dxa" w:w="3720"/>
            <w:tcBorders>
              <w:top w:val="single" w:color="C5CDD4" w:sz="4"/>
              <w:left w:val="single" w:color="C5CDD4" w:sz="4"/>
              <w:bottom w:val="single" w:color="C5CDD4" w:sz="4"/>
              <w:right w:val="single" w:color="C5CDD4" w:sz="4"/>
            </w:tcBorders>
            <w:shd w:fill="FFFFFF" w:val="clear"/>
            <w:tcMar>
              <w:top w:type="dxa" w:w="50"/>
              <w:left w:type="dxa" w:w="60"/>
              <w:bottom w:type="dxa" w:w="50"/>
              <w:right w:type="dxa" w:w="60"/>
            </w:tcMar>
            <w:vAlign w:val="top"/>
          </w:tcPr>
          <w:p>
            <w:pPr>
              <w:spacing w:after="0" w:line="23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6"/>
                <w:szCs w:val="16"/>
              </w:rPr>
              <w:t xml:space="preserve">Not a clinical Standard of Care for practitioners.</w:t>
            </w:r>
          </w:p>
        </w:tc>
        <w:tc>
          <w:tcPr>
            <w:tcW w:type="dxa" w:w="2880"/>
            <w:tcBorders>
              <w:top w:val="single" w:color="C5CDD4" w:sz="4"/>
              <w:left w:val="single" w:color="C5CDD4" w:sz="4"/>
              <w:bottom w:val="single" w:color="C5CDD4" w:sz="4"/>
              <w:right w:val="single" w:color="C5CDD4" w:sz="4"/>
            </w:tcBorders>
            <w:shd w:fill="FFFFFF" w:val="clear"/>
            <w:tcMar>
              <w:top w:type="dxa" w:w="50"/>
              <w:left w:type="dxa" w:w="60"/>
              <w:bottom w:type="dxa" w:w="50"/>
              <w:right w:type="dxa" w:w="60"/>
            </w:tcMar>
            <w:vAlign w:val="top"/>
          </w:tcPr>
          <w:p>
            <w:pPr>
              <w:spacing w:after="30" w:line="220"/>
            </w:pPr>
            <w:hyperlink w:history="1" r:id="rIdmwicgxupdpyi_upct0eay">
              <w:r>
                <w:rPr>
                  <w:rFonts w:ascii="Calibri" w:cs="Calibri" w:eastAsia="Calibri" w:hAnsi="Calibri"/>
                  <w:color w:val="1B4F8A"/>
                  <w:sz w:val="15"/>
                  <w:szCs w:val="15"/>
                  <w:u w:val="single"/>
                </w:rPr>
                <w:t xml:space="preserve">doi.org/10.1109/IEEESTD.2023.10186304</w:t>
              </w:r>
            </w:hyperlink>
          </w:p>
          <w:p>
            <w:pPr>
              <w:spacing w:after="0" w:line="220"/>
            </w:pPr>
            <w:hyperlink w:history="1" r:id="rIdcvf3l3uzysw49pqsx7lbi">
              <w:r>
                <w:rPr>
                  <w:rFonts w:ascii="Calibri" w:cs="Calibri" w:eastAsia="Calibri" w:hAnsi="Calibri"/>
                  <w:color w:val="1B4F8A"/>
                  <w:sz w:val="15"/>
                  <w:szCs w:val="15"/>
                  <w:u w:val="single"/>
                </w:rPr>
                <w:t xml:space="preserve">IEEE SA page</w:t>
              </w:r>
            </w:hyperlink>
          </w:p>
        </w:tc>
      </w:tr>
      <w:tr>
        <w:tc>
          <w:tcPr>
            <w:tcW w:type="dxa" w:w="2400"/>
            <w:tcBorders>
              <w:top w:val="single" w:color="C5CDD4" w:sz="4"/>
              <w:left w:val="single" w:color="C5CDD4" w:sz="4"/>
              <w:bottom w:val="single" w:color="C5CDD4" w:sz="4"/>
              <w:right w:val="single" w:color="C5CDD4" w:sz="4"/>
            </w:tcBorders>
            <w:shd w:fill="F3F6F9" w:val="clear"/>
            <w:tcMar>
              <w:top w:type="dxa" w:w="50"/>
              <w:left w:type="dxa" w:w="60"/>
              <w:bottom w:type="dxa" w:w="50"/>
              <w:right w:type="dxa" w:w="60"/>
            </w:tcMar>
            <w:vAlign w:val="top"/>
          </w:tcPr>
          <w:p>
            <w:pPr>
              <w:spacing w:after="0" w:line="23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6"/>
                <w:szCs w:val="16"/>
              </w:rPr>
              <w:t xml:space="preserve">U.S. Food and Drug Administration. 21 CFR 882.5050 (biofeedback device) and 21 CFR 882.1400 (electroencephalograph).</w:t>
            </w:r>
          </w:p>
        </w:tc>
        <w:tc>
          <w:tcPr>
            <w:tcW w:type="dxa" w:w="1680"/>
            <w:tcBorders>
              <w:top w:val="single" w:color="C5CDD4" w:sz="4"/>
              <w:left w:val="single" w:color="C5CDD4" w:sz="4"/>
              <w:bottom w:val="single" w:color="C5CDD4" w:sz="4"/>
              <w:right w:val="single" w:color="C5CDD4" w:sz="4"/>
            </w:tcBorders>
            <w:shd w:fill="F3F6F9" w:val="clear"/>
            <w:tcMar>
              <w:top w:type="dxa" w:w="50"/>
              <w:left w:type="dxa" w:w="60"/>
              <w:bottom w:type="dxa" w:w="50"/>
              <w:right w:type="dxa" w:w="60"/>
            </w:tcMar>
            <w:vAlign w:val="top"/>
          </w:tcPr>
          <w:p>
            <w:pPr>
              <w:spacing w:after="0" w:line="23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6"/>
                <w:szCs w:val="16"/>
              </w:rPr>
              <w:t xml:space="preserve">U.S. device regulation</w:t>
            </w:r>
          </w:p>
        </w:tc>
        <w:tc>
          <w:tcPr>
            <w:tcW w:type="dxa" w:w="3720"/>
            <w:tcBorders>
              <w:top w:val="single" w:color="C5CDD4" w:sz="4"/>
              <w:left w:val="single" w:color="C5CDD4" w:sz="4"/>
              <w:bottom w:val="single" w:color="C5CDD4" w:sz="4"/>
              <w:right w:val="single" w:color="C5CDD4" w:sz="4"/>
            </w:tcBorders>
            <w:shd w:fill="F3F6F9" w:val="clear"/>
            <w:tcMar>
              <w:top w:type="dxa" w:w="50"/>
              <w:left w:type="dxa" w:w="60"/>
              <w:bottom w:type="dxa" w:w="50"/>
              <w:right w:type="dxa" w:w="60"/>
            </w:tcMar>
            <w:vAlign w:val="top"/>
          </w:tcPr>
          <w:p>
            <w:pPr>
              <w:spacing w:after="0" w:line="23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6"/>
                <w:szCs w:val="16"/>
              </w:rPr>
              <w:t xml:space="preserve">Classifies certain biofeedback and EEG devices. Many biofeedback devices are Class II; some are 510(k)-exempt when prescription and indicated for relaxation training and muscle reeducation.</w:t>
            </w:r>
          </w:p>
        </w:tc>
        <w:tc>
          <w:tcPr>
            <w:tcW w:type="dxa" w:w="3720"/>
            <w:tcBorders>
              <w:top w:val="single" w:color="C5CDD4" w:sz="4"/>
              <w:left w:val="single" w:color="C5CDD4" w:sz="4"/>
              <w:bottom w:val="single" w:color="C5CDD4" w:sz="4"/>
              <w:right w:val="single" w:color="C5CDD4" w:sz="4"/>
            </w:tcBorders>
            <w:shd w:fill="F3F6F9" w:val="clear"/>
            <w:tcMar>
              <w:top w:type="dxa" w:w="50"/>
              <w:left w:type="dxa" w:w="60"/>
              <w:bottom w:type="dxa" w:w="50"/>
              <w:right w:type="dxa" w:w="60"/>
            </w:tcMar>
            <w:vAlign w:val="top"/>
          </w:tcPr>
          <w:p>
            <w:pPr>
              <w:spacing w:after="0" w:line="23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6"/>
                <w:szCs w:val="16"/>
              </w:rPr>
              <w:t xml:space="preserve">Not a practitioner Standard of Care. Does not authorize an unlicensed person to treat a diagnosed condition. Device listing is not approval to treat a named psychiatric diagnosis.</w:t>
            </w:r>
          </w:p>
        </w:tc>
        <w:tc>
          <w:tcPr>
            <w:tcW w:type="dxa" w:w="2880"/>
            <w:tcBorders>
              <w:top w:val="single" w:color="C5CDD4" w:sz="4"/>
              <w:left w:val="single" w:color="C5CDD4" w:sz="4"/>
              <w:bottom w:val="single" w:color="C5CDD4" w:sz="4"/>
              <w:right w:val="single" w:color="C5CDD4" w:sz="4"/>
            </w:tcBorders>
            <w:shd w:fill="F3F6F9" w:val="clear"/>
            <w:tcMar>
              <w:top w:type="dxa" w:w="50"/>
              <w:left w:type="dxa" w:w="60"/>
              <w:bottom w:type="dxa" w:w="50"/>
              <w:right w:type="dxa" w:w="60"/>
            </w:tcMar>
            <w:vAlign w:val="top"/>
          </w:tcPr>
          <w:p>
            <w:pPr>
              <w:spacing w:after="0" w:line="220"/>
            </w:pPr>
            <w:hyperlink w:history="1" r:id="rIdk2vanbma5cmhh8sli22tl">
              <w:r>
                <w:rPr>
                  <w:rFonts w:ascii="Calibri" w:cs="Calibri" w:eastAsia="Calibri" w:hAnsi="Calibri"/>
                  <w:color w:val="1B4F8A"/>
                  <w:sz w:val="15"/>
                  <w:szCs w:val="15"/>
                  <w:u w:val="single"/>
                </w:rPr>
                <w:t xml:space="preserve">21 CFR 882.5050</w:t>
              </w:r>
            </w:hyperlink>
          </w:p>
        </w:tc>
      </w:tr>
      <w:tr>
        <w:tc>
          <w:tcPr>
            <w:tcW w:type="dxa" w:w="2400"/>
            <w:tcBorders>
              <w:top w:val="single" w:color="C5CDD4" w:sz="4"/>
              <w:left w:val="single" w:color="C5CDD4" w:sz="4"/>
              <w:bottom w:val="single" w:color="C5CDD4" w:sz="4"/>
              <w:right w:val="single" w:color="C5CDD4" w:sz="4"/>
            </w:tcBorders>
            <w:shd w:fill="FFFFFF" w:val="clear"/>
            <w:tcMar>
              <w:top w:type="dxa" w:w="50"/>
              <w:left w:type="dxa" w:w="60"/>
              <w:bottom w:type="dxa" w:w="50"/>
              <w:right w:type="dxa" w:w="60"/>
            </w:tcMar>
            <w:vAlign w:val="top"/>
          </w:tcPr>
          <w:p>
            <w:pPr>
              <w:spacing w:after="0" w:line="23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6"/>
                <w:szCs w:val="16"/>
              </w:rPr>
              <w:t xml:space="preserve">International QEEG Certification Board. Certification levels QEEG-DL, QEEG-D, and QEEG-T.</w:t>
            </w:r>
          </w:p>
        </w:tc>
        <w:tc>
          <w:tcPr>
            <w:tcW w:type="dxa" w:w="1680"/>
            <w:tcBorders>
              <w:top w:val="single" w:color="C5CDD4" w:sz="4"/>
              <w:left w:val="single" w:color="C5CDD4" w:sz="4"/>
              <w:bottom w:val="single" w:color="C5CDD4" w:sz="4"/>
              <w:right w:val="single" w:color="C5CDD4" w:sz="4"/>
            </w:tcBorders>
            <w:shd w:fill="FFFFFF" w:val="clear"/>
            <w:tcMar>
              <w:top w:type="dxa" w:w="50"/>
              <w:left w:type="dxa" w:w="60"/>
              <w:bottom w:type="dxa" w:w="50"/>
              <w:right w:type="dxa" w:w="60"/>
            </w:tcMar>
            <w:vAlign w:val="top"/>
          </w:tcPr>
          <w:p>
            <w:pPr>
              <w:spacing w:after="0" w:line="23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6"/>
                <w:szCs w:val="16"/>
              </w:rPr>
              <w:t xml:space="preserve">Voluntary QEEG credential</w:t>
            </w:r>
          </w:p>
        </w:tc>
        <w:tc>
          <w:tcPr>
            <w:tcW w:type="dxa" w:w="3720"/>
            <w:tcBorders>
              <w:top w:val="single" w:color="C5CDD4" w:sz="4"/>
              <w:left w:val="single" w:color="C5CDD4" w:sz="4"/>
              <w:bottom w:val="single" w:color="C5CDD4" w:sz="4"/>
              <w:right w:val="single" w:color="C5CDD4" w:sz="4"/>
            </w:tcBorders>
            <w:shd w:fill="FFFFFF" w:val="clear"/>
            <w:tcMar>
              <w:top w:type="dxa" w:w="50"/>
              <w:left w:type="dxa" w:w="60"/>
              <w:bottom w:type="dxa" w:w="50"/>
              <w:right w:type="dxa" w:w="60"/>
            </w:tcMar>
            <w:vAlign w:val="top"/>
          </w:tcPr>
          <w:p>
            <w:pPr>
              <w:spacing w:after="0" w:line="23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6"/>
                <w:szCs w:val="16"/>
              </w:rPr>
              <w:t xml:space="preserve">Board certification in quantitative EEG, with separate technologist and diplomate tracks. Recertification every three years.</w:t>
            </w:r>
          </w:p>
        </w:tc>
        <w:tc>
          <w:tcPr>
            <w:tcW w:type="dxa" w:w="3720"/>
            <w:tcBorders>
              <w:top w:val="single" w:color="C5CDD4" w:sz="4"/>
              <w:left w:val="single" w:color="C5CDD4" w:sz="4"/>
              <w:bottom w:val="single" w:color="C5CDD4" w:sz="4"/>
              <w:right w:val="single" w:color="C5CDD4" w:sz="4"/>
            </w:tcBorders>
            <w:shd w:fill="FFFFFF" w:val="clear"/>
            <w:tcMar>
              <w:top w:type="dxa" w:w="50"/>
              <w:left w:type="dxa" w:w="60"/>
              <w:bottom w:type="dxa" w:w="50"/>
              <w:right w:type="dxa" w:w="60"/>
            </w:tcMar>
            <w:vAlign w:val="top"/>
          </w:tcPr>
          <w:p>
            <w:pPr>
              <w:spacing w:after="0" w:line="23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6"/>
                <w:szCs w:val="16"/>
              </w:rPr>
              <w:t xml:space="preserve">Not a medical license. Not neurofeedback certification. Not a general Standard of Care.</w:t>
            </w:r>
          </w:p>
        </w:tc>
        <w:tc>
          <w:tcPr>
            <w:tcW w:type="dxa" w:w="2880"/>
            <w:tcBorders>
              <w:top w:val="single" w:color="C5CDD4" w:sz="4"/>
              <w:left w:val="single" w:color="C5CDD4" w:sz="4"/>
              <w:bottom w:val="single" w:color="C5CDD4" w:sz="4"/>
              <w:right w:val="single" w:color="C5CDD4" w:sz="4"/>
            </w:tcBorders>
            <w:shd w:fill="FFFFFF" w:val="clear"/>
            <w:tcMar>
              <w:top w:type="dxa" w:w="50"/>
              <w:left w:type="dxa" w:w="60"/>
              <w:bottom w:type="dxa" w:w="50"/>
              <w:right w:type="dxa" w:w="60"/>
            </w:tcMar>
            <w:vAlign w:val="top"/>
          </w:tcPr>
          <w:p>
            <w:pPr>
              <w:spacing w:after="0" w:line="220"/>
            </w:pPr>
            <w:hyperlink w:history="1" r:id="rId95ozboxbvogmfvup47too">
              <w:r>
                <w:rPr>
                  <w:rFonts w:ascii="Calibri" w:cs="Calibri" w:eastAsia="Calibri" w:hAnsi="Calibri"/>
                  <w:color w:val="1B4F8A"/>
                  <w:sz w:val="15"/>
                  <w:szCs w:val="15"/>
                  <w:u w:val="single"/>
                </w:rPr>
                <w:t xml:space="preserve">qeegcertificationboard.org</w:t>
              </w:r>
            </w:hyperlink>
          </w:p>
        </w:tc>
      </w:tr>
      <w:tr>
        <w:tc>
          <w:tcPr>
            <w:tcW w:type="dxa" w:w="2400"/>
            <w:tcBorders>
              <w:top w:val="single" w:color="C5CDD4" w:sz="4"/>
              <w:left w:val="single" w:color="C5CDD4" w:sz="4"/>
              <w:bottom w:val="single" w:color="C5CDD4" w:sz="4"/>
              <w:right w:val="single" w:color="C5CDD4" w:sz="4"/>
            </w:tcBorders>
            <w:shd w:fill="F3F6F9" w:val="clear"/>
            <w:tcMar>
              <w:top w:type="dxa" w:w="50"/>
              <w:left w:type="dxa" w:w="60"/>
              <w:bottom w:type="dxa" w:w="50"/>
              <w:right w:type="dxa" w:w="60"/>
            </w:tcMar>
            <w:vAlign w:val="top"/>
          </w:tcPr>
          <w:p>
            <w:pPr>
              <w:spacing w:after="0" w:line="23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6"/>
                <w:szCs w:val="16"/>
              </w:rPr>
              <w:t xml:space="preserve">Collura and colleagues (2025). IQCB Guideline: Minimum Technical Requirements for Performing Clinical Quantitative Electroencephalography. Clinical EEG and Neuroscience, 56(5), 391–399.</w:t>
            </w:r>
          </w:p>
        </w:tc>
        <w:tc>
          <w:tcPr>
            <w:tcW w:type="dxa" w:w="1680"/>
            <w:tcBorders>
              <w:top w:val="single" w:color="C5CDD4" w:sz="4"/>
              <w:left w:val="single" w:color="C5CDD4" w:sz="4"/>
              <w:bottom w:val="single" w:color="C5CDD4" w:sz="4"/>
              <w:right w:val="single" w:color="C5CDD4" w:sz="4"/>
            </w:tcBorders>
            <w:shd w:fill="F3F6F9" w:val="clear"/>
            <w:tcMar>
              <w:top w:type="dxa" w:w="50"/>
              <w:left w:type="dxa" w:w="60"/>
              <w:bottom w:type="dxa" w:w="50"/>
              <w:right w:type="dxa" w:w="60"/>
            </w:tcMar>
            <w:vAlign w:val="top"/>
          </w:tcPr>
          <w:p>
            <w:pPr>
              <w:spacing w:after="0" w:line="23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6"/>
                <w:szCs w:val="16"/>
              </w:rPr>
              <w:t xml:space="preserve">QEEG technical guideline</w:t>
            </w:r>
          </w:p>
        </w:tc>
        <w:tc>
          <w:tcPr>
            <w:tcW w:type="dxa" w:w="3720"/>
            <w:tcBorders>
              <w:top w:val="single" w:color="C5CDD4" w:sz="4"/>
              <w:left w:val="single" w:color="C5CDD4" w:sz="4"/>
              <w:bottom w:val="single" w:color="C5CDD4" w:sz="4"/>
              <w:right w:val="single" w:color="C5CDD4" w:sz="4"/>
            </w:tcBorders>
            <w:shd w:fill="F3F6F9" w:val="clear"/>
            <w:tcMar>
              <w:top w:type="dxa" w:w="50"/>
              <w:left w:type="dxa" w:w="60"/>
              <w:bottom w:type="dxa" w:w="50"/>
              <w:right w:type="dxa" w:w="60"/>
            </w:tcMar>
            <w:vAlign w:val="top"/>
          </w:tcPr>
          <w:p>
            <w:pPr>
              <w:spacing w:after="0" w:line="23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6"/>
                <w:szCs w:val="16"/>
              </w:rPr>
              <w:t xml:space="preserve">Acquisition, visual inspection of the raw EEG, artifact handling, data selection, and quantitative processing minima. Extends clinical EEG technical standards into quantitative work.</w:t>
            </w:r>
          </w:p>
        </w:tc>
        <w:tc>
          <w:tcPr>
            <w:tcW w:type="dxa" w:w="3720"/>
            <w:tcBorders>
              <w:top w:val="single" w:color="C5CDD4" w:sz="4"/>
              <w:left w:val="single" w:color="C5CDD4" w:sz="4"/>
              <w:bottom w:val="single" w:color="C5CDD4" w:sz="4"/>
              <w:right w:val="single" w:color="C5CDD4" w:sz="4"/>
            </w:tcBorders>
            <w:shd w:fill="F3F6F9" w:val="clear"/>
            <w:tcMar>
              <w:top w:type="dxa" w:w="50"/>
              <w:left w:type="dxa" w:w="60"/>
              <w:bottom w:type="dxa" w:w="50"/>
              <w:right w:type="dxa" w:w="60"/>
            </w:tcMar>
            <w:vAlign w:val="top"/>
          </w:tcPr>
          <w:p>
            <w:pPr>
              <w:spacing w:after="0" w:line="23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6"/>
                <w:szCs w:val="16"/>
              </w:rPr>
              <w:t xml:space="preserve">Not a general neurofeedback Standard of Care. QEEG-specific.</w:t>
            </w:r>
          </w:p>
        </w:tc>
        <w:tc>
          <w:tcPr>
            <w:tcW w:type="dxa" w:w="2880"/>
            <w:tcBorders>
              <w:top w:val="single" w:color="C5CDD4" w:sz="4"/>
              <w:left w:val="single" w:color="C5CDD4" w:sz="4"/>
              <w:bottom w:val="single" w:color="C5CDD4" w:sz="4"/>
              <w:right w:val="single" w:color="C5CDD4" w:sz="4"/>
            </w:tcBorders>
            <w:shd w:fill="F3F6F9" w:val="clear"/>
            <w:tcMar>
              <w:top w:type="dxa" w:w="50"/>
              <w:left w:type="dxa" w:w="60"/>
              <w:bottom w:type="dxa" w:w="50"/>
              <w:right w:type="dxa" w:w="60"/>
            </w:tcMar>
            <w:vAlign w:val="top"/>
          </w:tcPr>
          <w:p>
            <w:pPr>
              <w:spacing w:after="0" w:line="220"/>
            </w:pPr>
            <w:hyperlink w:history="1" r:id="rIdac2riwtlrjwh3kxp85ugy">
              <w:r>
                <w:rPr>
                  <w:rFonts w:ascii="Calibri" w:cs="Calibri" w:eastAsia="Calibri" w:hAnsi="Calibri"/>
                  <w:color w:val="1B4F8A"/>
                  <w:sz w:val="15"/>
                  <w:szCs w:val="15"/>
                  <w:u w:val="single"/>
                </w:rPr>
                <w:t xml:space="preserve">doi.org/10.1177/15500594241308654</w:t>
              </w:r>
            </w:hyperlink>
          </w:p>
        </w:tc>
      </w:tr>
      <w:tr>
        <w:tc>
          <w:tcPr>
            <w:tcW w:type="dxa" w:w="2400"/>
            <w:tcBorders>
              <w:top w:val="single" w:color="C5CDD4" w:sz="4"/>
              <w:left w:val="single" w:color="C5CDD4" w:sz="4"/>
              <w:bottom w:val="single" w:color="C5CDD4" w:sz="4"/>
              <w:right w:val="single" w:color="C5CDD4" w:sz="4"/>
            </w:tcBorders>
            <w:shd w:fill="FFFFFF" w:val="clear"/>
            <w:tcMar>
              <w:top w:type="dxa" w:w="50"/>
              <w:left w:type="dxa" w:w="60"/>
              <w:bottom w:type="dxa" w:w="50"/>
              <w:right w:type="dxa" w:w="60"/>
            </w:tcMar>
            <w:vAlign w:val="top"/>
          </w:tcPr>
          <w:p>
            <w:pPr>
              <w:spacing w:after="0" w:line="23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6"/>
                <w:szCs w:val="16"/>
              </w:rPr>
              <w:t xml:space="preserve">IQCB Recommended Guidelines for QEEG Report Writing (16 March 2025).</w:t>
            </w:r>
          </w:p>
        </w:tc>
        <w:tc>
          <w:tcPr>
            <w:tcW w:type="dxa" w:w="1680"/>
            <w:tcBorders>
              <w:top w:val="single" w:color="C5CDD4" w:sz="4"/>
              <w:left w:val="single" w:color="C5CDD4" w:sz="4"/>
              <w:bottom w:val="single" w:color="C5CDD4" w:sz="4"/>
              <w:right w:val="single" w:color="C5CDD4" w:sz="4"/>
            </w:tcBorders>
            <w:shd w:fill="FFFFFF" w:val="clear"/>
            <w:tcMar>
              <w:top w:type="dxa" w:w="50"/>
              <w:left w:type="dxa" w:w="60"/>
              <w:bottom w:type="dxa" w:w="50"/>
              <w:right w:type="dxa" w:w="60"/>
            </w:tcMar>
            <w:vAlign w:val="top"/>
          </w:tcPr>
          <w:p>
            <w:pPr>
              <w:spacing w:after="0" w:line="23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6"/>
                <w:szCs w:val="16"/>
              </w:rPr>
              <w:t xml:space="preserve">QEEG report-writing guidance</w:t>
            </w:r>
          </w:p>
        </w:tc>
        <w:tc>
          <w:tcPr>
            <w:tcW w:type="dxa" w:w="3720"/>
            <w:tcBorders>
              <w:top w:val="single" w:color="C5CDD4" w:sz="4"/>
              <w:left w:val="single" w:color="C5CDD4" w:sz="4"/>
              <w:bottom w:val="single" w:color="C5CDD4" w:sz="4"/>
              <w:right w:val="single" w:color="C5CDD4" w:sz="4"/>
            </w:tcBorders>
            <w:shd w:fill="FFFFFF" w:val="clear"/>
            <w:tcMar>
              <w:top w:type="dxa" w:w="50"/>
              <w:left w:type="dxa" w:w="60"/>
              <w:bottom w:type="dxa" w:w="50"/>
              <w:right w:type="dxa" w:w="60"/>
            </w:tcMar>
            <w:vAlign w:val="top"/>
          </w:tcPr>
          <w:p>
            <w:pPr>
              <w:spacing w:after="0" w:line="23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6"/>
                <w:szCs w:val="16"/>
              </w:rPr>
              <w:t xml:space="preserve">Recommended sections of a quantitative EEG report. Computer-generated text may assist organization; it does not replace clinician review of raw traces and clinical correlation.</w:t>
            </w:r>
          </w:p>
        </w:tc>
        <w:tc>
          <w:tcPr>
            <w:tcW w:type="dxa" w:w="3720"/>
            <w:tcBorders>
              <w:top w:val="single" w:color="C5CDD4" w:sz="4"/>
              <w:left w:val="single" w:color="C5CDD4" w:sz="4"/>
              <w:bottom w:val="single" w:color="C5CDD4" w:sz="4"/>
              <w:right w:val="single" w:color="C5CDD4" w:sz="4"/>
            </w:tcBorders>
            <w:shd w:fill="FFFFFF" w:val="clear"/>
            <w:tcMar>
              <w:top w:type="dxa" w:w="50"/>
              <w:left w:type="dxa" w:w="60"/>
              <w:bottom w:type="dxa" w:w="50"/>
              <w:right w:type="dxa" w:w="60"/>
            </w:tcMar>
            <w:vAlign w:val="top"/>
          </w:tcPr>
          <w:p>
            <w:pPr>
              <w:spacing w:after="0" w:line="23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6"/>
                <w:szCs w:val="16"/>
              </w:rPr>
              <w:t xml:space="preserve">Not a general neurofeedback Standard of Care.</w:t>
            </w:r>
          </w:p>
        </w:tc>
        <w:tc>
          <w:tcPr>
            <w:tcW w:type="dxa" w:w="2880"/>
            <w:tcBorders>
              <w:top w:val="single" w:color="C5CDD4" w:sz="4"/>
              <w:left w:val="single" w:color="C5CDD4" w:sz="4"/>
              <w:bottom w:val="single" w:color="C5CDD4" w:sz="4"/>
              <w:right w:val="single" w:color="C5CDD4" w:sz="4"/>
            </w:tcBorders>
            <w:shd w:fill="FFFFFF" w:val="clear"/>
            <w:tcMar>
              <w:top w:type="dxa" w:w="50"/>
              <w:left w:type="dxa" w:w="60"/>
              <w:bottom w:type="dxa" w:w="50"/>
              <w:right w:type="dxa" w:w="60"/>
            </w:tcMar>
            <w:vAlign w:val="top"/>
          </w:tcPr>
          <w:p>
            <w:pPr>
              <w:spacing w:after="0" w:line="220"/>
            </w:pPr>
            <w:hyperlink w:history="1" r:id="rIdtg99rrrp3dqtywrpoitag">
              <w:r>
                <w:rPr>
                  <w:rFonts w:ascii="Calibri" w:cs="Calibri" w:eastAsia="Calibri" w:hAnsi="Calibri"/>
                  <w:color w:val="1B4F8A"/>
                  <w:sz w:val="15"/>
                  <w:szCs w:val="15"/>
                  <w:u w:val="single"/>
                </w:rPr>
                <w:t xml:space="preserve">Report-writing PDF</w:t>
              </w:r>
            </w:hyperlink>
          </w:p>
        </w:tc>
      </w:tr>
      <w:tr>
        <w:tc>
          <w:tcPr>
            <w:tcW w:type="dxa" w:w="2400"/>
            <w:tcBorders>
              <w:top w:val="single" w:color="C5CDD4" w:sz="4"/>
              <w:left w:val="single" w:color="C5CDD4" w:sz="4"/>
              <w:bottom w:val="single" w:color="C5CDD4" w:sz="4"/>
              <w:right w:val="single" w:color="C5CDD4" w:sz="4"/>
            </w:tcBorders>
            <w:shd w:fill="F3F6F9" w:val="clear"/>
            <w:tcMar>
              <w:top w:type="dxa" w:w="50"/>
              <w:left w:type="dxa" w:w="60"/>
              <w:bottom w:type="dxa" w:w="50"/>
              <w:right w:type="dxa" w:w="60"/>
            </w:tcMar>
            <w:vAlign w:val="top"/>
          </w:tcPr>
          <w:p>
            <w:pPr>
              <w:spacing w:after="0" w:line="23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6"/>
                <w:szCs w:val="16"/>
              </w:rPr>
              <w:t xml:space="preserve">American Clinical Neurophysiology Society. Guideline 1 (2016). Minimum Technical Requirements for Performing Clinical EEG. Journal of Clinical Neurophysiology, 33(4), 303–307.</w:t>
            </w:r>
          </w:p>
        </w:tc>
        <w:tc>
          <w:tcPr>
            <w:tcW w:type="dxa" w:w="1680"/>
            <w:tcBorders>
              <w:top w:val="single" w:color="C5CDD4" w:sz="4"/>
              <w:left w:val="single" w:color="C5CDD4" w:sz="4"/>
              <w:bottom w:val="single" w:color="C5CDD4" w:sz="4"/>
              <w:right w:val="single" w:color="C5CDD4" w:sz="4"/>
            </w:tcBorders>
            <w:shd w:fill="F3F6F9" w:val="clear"/>
            <w:tcMar>
              <w:top w:type="dxa" w:w="50"/>
              <w:left w:type="dxa" w:w="60"/>
              <w:bottom w:type="dxa" w:w="50"/>
              <w:right w:type="dxa" w:w="60"/>
            </w:tcMar>
            <w:vAlign w:val="top"/>
          </w:tcPr>
          <w:p>
            <w:pPr>
              <w:spacing w:after="0" w:line="23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6"/>
                <w:szCs w:val="16"/>
              </w:rPr>
              <w:t xml:space="preserve">Clinical EEG technical guideline</w:t>
            </w:r>
          </w:p>
        </w:tc>
        <w:tc>
          <w:tcPr>
            <w:tcW w:type="dxa" w:w="3720"/>
            <w:tcBorders>
              <w:top w:val="single" w:color="C5CDD4" w:sz="4"/>
              <w:left w:val="single" w:color="C5CDD4" w:sz="4"/>
              <w:bottom w:val="single" w:color="C5CDD4" w:sz="4"/>
              <w:right w:val="single" w:color="C5CDD4" w:sz="4"/>
            </w:tcBorders>
            <w:shd w:fill="F3F6F9" w:val="clear"/>
            <w:tcMar>
              <w:top w:type="dxa" w:w="50"/>
              <w:left w:type="dxa" w:w="60"/>
              <w:bottom w:type="dxa" w:w="50"/>
              <w:right w:type="dxa" w:w="60"/>
            </w:tcMar>
            <w:vAlign w:val="top"/>
          </w:tcPr>
          <w:p>
            <w:pPr>
              <w:spacing w:after="0" w:line="23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6"/>
                <w:szCs w:val="16"/>
              </w:rPr>
              <w:t xml:space="preserve">Minimum technical conditions for clinical EEG recording. Later quantitative-EEG technical guidance builds on this baseline.</w:t>
            </w:r>
          </w:p>
        </w:tc>
        <w:tc>
          <w:tcPr>
            <w:tcW w:type="dxa" w:w="3720"/>
            <w:tcBorders>
              <w:top w:val="single" w:color="C5CDD4" w:sz="4"/>
              <w:left w:val="single" w:color="C5CDD4" w:sz="4"/>
              <w:bottom w:val="single" w:color="C5CDD4" w:sz="4"/>
              <w:right w:val="single" w:color="C5CDD4" w:sz="4"/>
            </w:tcBorders>
            <w:shd w:fill="F3F6F9" w:val="clear"/>
            <w:tcMar>
              <w:top w:type="dxa" w:w="50"/>
              <w:left w:type="dxa" w:w="60"/>
              <w:bottom w:type="dxa" w:w="50"/>
              <w:right w:type="dxa" w:w="60"/>
            </w:tcMar>
            <w:vAlign w:val="top"/>
          </w:tcPr>
          <w:p>
            <w:pPr>
              <w:spacing w:after="0" w:line="23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6"/>
                <w:szCs w:val="16"/>
              </w:rPr>
              <w:t xml:space="preserve">Not a neurofeedback practice standard.</w:t>
            </w:r>
          </w:p>
        </w:tc>
        <w:tc>
          <w:tcPr>
            <w:tcW w:type="dxa" w:w="2880"/>
            <w:tcBorders>
              <w:top w:val="single" w:color="C5CDD4" w:sz="4"/>
              <w:left w:val="single" w:color="C5CDD4" w:sz="4"/>
              <w:bottom w:val="single" w:color="C5CDD4" w:sz="4"/>
              <w:right w:val="single" w:color="C5CDD4" w:sz="4"/>
            </w:tcBorders>
            <w:shd w:fill="F3F6F9" w:val="clear"/>
            <w:tcMar>
              <w:top w:type="dxa" w:w="50"/>
              <w:left w:type="dxa" w:w="60"/>
              <w:bottom w:type="dxa" w:w="50"/>
              <w:right w:type="dxa" w:w="60"/>
            </w:tcMar>
            <w:vAlign w:val="top"/>
          </w:tcPr>
          <w:p>
            <w:pPr>
              <w:spacing w:after="30" w:line="220"/>
            </w:pPr>
            <w:hyperlink w:history="1" r:id="rIdnj9mnue2rogha9s6xucpn">
              <w:r>
                <w:rPr>
                  <w:rFonts w:ascii="Calibri" w:cs="Calibri" w:eastAsia="Calibri" w:hAnsi="Calibri"/>
                  <w:color w:val="1B4F8A"/>
                  <w:sz w:val="15"/>
                  <w:szCs w:val="15"/>
                  <w:u w:val="single"/>
                </w:rPr>
                <w:t xml:space="preserve">doi.org/10.1097/WNP.0000000000000308</w:t>
              </w:r>
            </w:hyperlink>
          </w:p>
          <w:p>
            <w:pPr>
              <w:spacing w:after="0" w:line="220"/>
            </w:pPr>
            <w:hyperlink w:history="1" r:id="rIdsvssbjzpnspignxzmgugj">
              <w:r>
                <w:rPr>
                  <w:rFonts w:ascii="Calibri" w:cs="Calibri" w:eastAsia="Calibri" w:hAnsi="Calibri"/>
                  <w:color w:val="1B4F8A"/>
                  <w:sz w:val="15"/>
                  <w:szCs w:val="15"/>
                  <w:u w:val="single"/>
                </w:rPr>
                <w:t xml:space="preserve">ACNS guidelines</w:t>
              </w:r>
            </w:hyperlink>
          </w:p>
        </w:tc>
      </w:tr>
      <w:tr>
        <w:tc>
          <w:tcPr>
            <w:tcW w:type="dxa" w:w="2400"/>
            <w:tcBorders>
              <w:top w:val="single" w:color="C5CDD4" w:sz="4"/>
              <w:left w:val="single" w:color="C5CDD4" w:sz="4"/>
              <w:bottom w:val="single" w:color="C5CDD4" w:sz="4"/>
              <w:right w:val="single" w:color="C5CDD4" w:sz="4"/>
            </w:tcBorders>
            <w:shd w:fill="FFFFFF" w:val="clear"/>
            <w:tcMar>
              <w:top w:type="dxa" w:w="50"/>
              <w:left w:type="dxa" w:w="60"/>
              <w:bottom w:type="dxa" w:w="50"/>
              <w:right w:type="dxa" w:w="60"/>
            </w:tcMar>
            <w:vAlign w:val="top"/>
          </w:tcPr>
          <w:p>
            <w:pPr>
              <w:spacing w:after="0" w:line="23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6"/>
                <w:szCs w:val="16"/>
              </w:rPr>
              <w:t xml:space="preserve">AAPB, BCIA, and ISNR Task Force on Nomenclature (2008). Joint definition of biofeedback.</w:t>
            </w:r>
          </w:p>
        </w:tc>
        <w:tc>
          <w:tcPr>
            <w:tcW w:type="dxa" w:w="1680"/>
            <w:tcBorders>
              <w:top w:val="single" w:color="C5CDD4" w:sz="4"/>
              <w:left w:val="single" w:color="C5CDD4" w:sz="4"/>
              <w:bottom w:val="single" w:color="C5CDD4" w:sz="4"/>
              <w:right w:val="single" w:color="C5CDD4" w:sz="4"/>
            </w:tcBorders>
            <w:shd w:fill="FFFFFF" w:val="clear"/>
            <w:tcMar>
              <w:top w:type="dxa" w:w="50"/>
              <w:left w:type="dxa" w:w="60"/>
              <w:bottom w:type="dxa" w:w="50"/>
              <w:right w:type="dxa" w:w="60"/>
            </w:tcMar>
            <w:vAlign w:val="top"/>
          </w:tcPr>
          <w:p>
            <w:pPr>
              <w:spacing w:after="0" w:line="23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6"/>
                <w:szCs w:val="16"/>
              </w:rPr>
              <w:t xml:space="preserve">Nomenclature consensus</w:t>
            </w:r>
          </w:p>
        </w:tc>
        <w:tc>
          <w:tcPr>
            <w:tcW w:type="dxa" w:w="3720"/>
            <w:tcBorders>
              <w:top w:val="single" w:color="C5CDD4" w:sz="4"/>
              <w:left w:val="single" w:color="C5CDD4" w:sz="4"/>
              <w:bottom w:val="single" w:color="C5CDD4" w:sz="4"/>
              <w:right w:val="single" w:color="C5CDD4" w:sz="4"/>
            </w:tcBorders>
            <w:shd w:fill="FFFFFF" w:val="clear"/>
            <w:tcMar>
              <w:top w:type="dxa" w:w="50"/>
              <w:left w:type="dxa" w:w="60"/>
              <w:bottom w:type="dxa" w:w="50"/>
              <w:right w:type="dxa" w:w="60"/>
            </w:tcMar>
            <w:vAlign w:val="top"/>
          </w:tcPr>
          <w:p>
            <w:pPr>
              <w:spacing w:after="0" w:line="23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6"/>
                <w:szCs w:val="16"/>
              </w:rPr>
              <w:t xml:space="preserve">Shared definition of biofeedback used across the three organizations and later reproduced in association and purchaser documents.</w:t>
            </w:r>
          </w:p>
        </w:tc>
        <w:tc>
          <w:tcPr>
            <w:tcW w:type="dxa" w:w="3720"/>
            <w:tcBorders>
              <w:top w:val="single" w:color="C5CDD4" w:sz="4"/>
              <w:left w:val="single" w:color="C5CDD4" w:sz="4"/>
              <w:bottom w:val="single" w:color="C5CDD4" w:sz="4"/>
              <w:right w:val="single" w:color="C5CDD4" w:sz="4"/>
            </w:tcBorders>
            <w:shd w:fill="FFFFFF" w:val="clear"/>
            <w:tcMar>
              <w:top w:type="dxa" w:w="50"/>
              <w:left w:type="dxa" w:w="60"/>
              <w:bottom w:type="dxa" w:w="50"/>
              <w:right w:type="dxa" w:w="60"/>
            </w:tcMar>
            <w:vAlign w:val="top"/>
          </w:tcPr>
          <w:p>
            <w:pPr>
              <w:spacing w:after="0" w:line="23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6"/>
                <w:szCs w:val="16"/>
              </w:rPr>
              <w:t xml:space="preserve">Not a practice standard.</w:t>
            </w:r>
          </w:p>
        </w:tc>
        <w:tc>
          <w:tcPr>
            <w:tcW w:type="dxa" w:w="2880"/>
            <w:tcBorders>
              <w:top w:val="single" w:color="C5CDD4" w:sz="4"/>
              <w:left w:val="single" w:color="C5CDD4" w:sz="4"/>
              <w:bottom w:val="single" w:color="C5CDD4" w:sz="4"/>
              <w:right w:val="single" w:color="C5CDD4" w:sz="4"/>
            </w:tcBorders>
            <w:shd w:fill="FFFFFF" w:val="clear"/>
            <w:tcMar>
              <w:top w:type="dxa" w:w="50"/>
              <w:left w:type="dxa" w:w="60"/>
              <w:bottom w:type="dxa" w:w="50"/>
              <w:right w:type="dxa" w:w="60"/>
            </w:tcMar>
            <w:vAlign w:val="top"/>
          </w:tcPr>
          <w:p>
            <w:pPr>
              <w:spacing w:after="0" w:line="220"/>
            </w:pPr>
            <w:hyperlink w:history="1" r:id="rId-83el4_llqddr1ig2ylu0">
              <w:r>
                <w:rPr>
                  <w:rFonts w:ascii="Calibri" w:cs="Calibri" w:eastAsia="Calibri" w:hAnsi="Calibri"/>
                  <w:color w:val="1B4F8A"/>
                  <w:sz w:val="15"/>
                  <w:szCs w:val="15"/>
                  <w:u w:val="single"/>
                </w:rPr>
                <w:t xml:space="preserve">Quoted on AAPB Standards page</w:t>
              </w:r>
            </w:hyperlink>
          </w:p>
        </w:tc>
      </w:tr>
      <w:tr>
        <w:tc>
          <w:tcPr>
            <w:tcW w:type="dxa" w:w="2400"/>
            <w:tcBorders>
              <w:top w:val="single" w:color="C5CDD4" w:sz="4"/>
              <w:left w:val="single" w:color="C5CDD4" w:sz="4"/>
              <w:bottom w:val="single" w:color="C5CDD4" w:sz="4"/>
              <w:right w:val="single" w:color="C5CDD4" w:sz="4"/>
            </w:tcBorders>
            <w:shd w:fill="F3F6F9" w:val="clear"/>
            <w:tcMar>
              <w:top w:type="dxa" w:w="50"/>
              <w:left w:type="dxa" w:w="60"/>
              <w:bottom w:type="dxa" w:w="50"/>
              <w:right w:type="dxa" w:w="60"/>
            </w:tcMar>
            <w:vAlign w:val="top"/>
          </w:tcPr>
          <w:p>
            <w:pPr>
              <w:spacing w:after="0" w:line="23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6"/>
                <w:szCs w:val="16"/>
              </w:rPr>
              <w:t xml:space="preserve">Ros, Enriquez-Geppert, Zotev, and colleagues (2020). Consensus on the reporting and experimental design of clinical and cognitive-behavioural neurofeedback studies (CRED-nf checklist). Brain, 143(6), 1674–1685.</w:t>
            </w:r>
          </w:p>
        </w:tc>
        <w:tc>
          <w:tcPr>
            <w:tcW w:type="dxa" w:w="1680"/>
            <w:tcBorders>
              <w:top w:val="single" w:color="C5CDD4" w:sz="4"/>
              <w:left w:val="single" w:color="C5CDD4" w:sz="4"/>
              <w:bottom w:val="single" w:color="C5CDD4" w:sz="4"/>
              <w:right w:val="single" w:color="C5CDD4" w:sz="4"/>
            </w:tcBorders>
            <w:shd w:fill="F3F6F9" w:val="clear"/>
            <w:tcMar>
              <w:top w:type="dxa" w:w="50"/>
              <w:left w:type="dxa" w:w="60"/>
              <w:bottom w:type="dxa" w:w="50"/>
              <w:right w:type="dxa" w:w="60"/>
            </w:tcMar>
            <w:vAlign w:val="top"/>
          </w:tcPr>
          <w:p>
            <w:pPr>
              <w:spacing w:after="0" w:line="23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6"/>
                <w:szCs w:val="16"/>
              </w:rPr>
              <w:t xml:space="preserve">Research reporting consensus</w:t>
            </w:r>
          </w:p>
        </w:tc>
        <w:tc>
          <w:tcPr>
            <w:tcW w:type="dxa" w:w="3720"/>
            <w:tcBorders>
              <w:top w:val="single" w:color="C5CDD4" w:sz="4"/>
              <w:left w:val="single" w:color="C5CDD4" w:sz="4"/>
              <w:bottom w:val="single" w:color="C5CDD4" w:sz="4"/>
              <w:right w:val="single" w:color="C5CDD4" w:sz="4"/>
            </w:tcBorders>
            <w:shd w:fill="F3F6F9" w:val="clear"/>
            <w:tcMar>
              <w:top w:type="dxa" w:w="50"/>
              <w:left w:type="dxa" w:w="60"/>
              <w:bottom w:type="dxa" w:w="50"/>
              <w:right w:type="dxa" w:w="60"/>
            </w:tcMar>
            <w:vAlign w:val="top"/>
          </w:tcPr>
          <w:p>
            <w:pPr>
              <w:spacing w:after="0" w:line="23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6"/>
                <w:szCs w:val="16"/>
              </w:rPr>
              <w:t xml:space="preserve">Consensus checklist to improve experimental design and reporting of neurofeedback studies. Intended as a complement to CONSORT.</w:t>
            </w:r>
          </w:p>
        </w:tc>
        <w:tc>
          <w:tcPr>
            <w:tcW w:type="dxa" w:w="3720"/>
            <w:tcBorders>
              <w:top w:val="single" w:color="C5CDD4" w:sz="4"/>
              <w:left w:val="single" w:color="C5CDD4" w:sz="4"/>
              <w:bottom w:val="single" w:color="C5CDD4" w:sz="4"/>
              <w:right w:val="single" w:color="C5CDD4" w:sz="4"/>
            </w:tcBorders>
            <w:shd w:fill="F3F6F9" w:val="clear"/>
            <w:tcMar>
              <w:top w:type="dxa" w:w="50"/>
              <w:left w:type="dxa" w:w="60"/>
              <w:bottom w:type="dxa" w:w="50"/>
              <w:right w:type="dxa" w:w="60"/>
            </w:tcMar>
            <w:vAlign w:val="top"/>
          </w:tcPr>
          <w:p>
            <w:pPr>
              <w:spacing w:after="0" w:line="23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6"/>
                <w:szCs w:val="16"/>
              </w:rPr>
              <w:t xml:space="preserve">Not a clinical Standard of Care. Relevant to the research half of a dual clinical/research standards project.</w:t>
            </w:r>
          </w:p>
        </w:tc>
        <w:tc>
          <w:tcPr>
            <w:tcW w:type="dxa" w:w="2880"/>
            <w:tcBorders>
              <w:top w:val="single" w:color="C5CDD4" w:sz="4"/>
              <w:left w:val="single" w:color="C5CDD4" w:sz="4"/>
              <w:bottom w:val="single" w:color="C5CDD4" w:sz="4"/>
              <w:right w:val="single" w:color="C5CDD4" w:sz="4"/>
            </w:tcBorders>
            <w:shd w:fill="F3F6F9" w:val="clear"/>
            <w:tcMar>
              <w:top w:type="dxa" w:w="50"/>
              <w:left w:type="dxa" w:w="60"/>
              <w:bottom w:type="dxa" w:w="50"/>
              <w:right w:type="dxa" w:w="60"/>
            </w:tcMar>
            <w:vAlign w:val="top"/>
          </w:tcPr>
          <w:p>
            <w:pPr>
              <w:spacing w:after="30" w:line="220"/>
            </w:pPr>
            <w:hyperlink w:history="1" r:id="rIdquo0hgiwg9zazmskgnuln">
              <w:r>
                <w:rPr>
                  <w:rFonts w:ascii="Calibri" w:cs="Calibri" w:eastAsia="Calibri" w:hAnsi="Calibri"/>
                  <w:color w:val="1B4F8A"/>
                  <w:sz w:val="15"/>
                  <w:szCs w:val="15"/>
                  <w:u w:val="single"/>
                </w:rPr>
                <w:t xml:space="preserve">doi.org/10.1093/brain/awaa009</w:t>
              </w:r>
            </w:hyperlink>
          </w:p>
          <w:p>
            <w:pPr>
              <w:spacing w:after="0" w:line="220"/>
            </w:pPr>
            <w:hyperlink w:history="1" r:id="rIdmz--cxldtxn7mx92uea1-">
              <w:r>
                <w:rPr>
                  <w:rFonts w:ascii="Calibri" w:cs="Calibri" w:eastAsia="Calibri" w:hAnsi="Calibri"/>
                  <w:color w:val="1B4F8A"/>
                  <w:sz w:val="15"/>
                  <w:szCs w:val="15"/>
                  <w:u w:val="single"/>
                </w:rPr>
                <w:t xml:space="preserve">CRED-nf tool</w:t>
              </w:r>
            </w:hyperlink>
          </w:p>
        </w:tc>
      </w:tr>
      <w:tr>
        <w:tc>
          <w:tcPr>
            <w:tcW w:type="dxa" w:w="2400"/>
            <w:tcBorders>
              <w:top w:val="single" w:color="C5CDD4" w:sz="4"/>
              <w:left w:val="single" w:color="C5CDD4" w:sz="4"/>
              <w:bottom w:val="single" w:color="C5CDD4" w:sz="4"/>
              <w:right w:val="single" w:color="C5CDD4" w:sz="4"/>
            </w:tcBorders>
            <w:shd w:fill="FFFFFF" w:val="clear"/>
            <w:tcMar>
              <w:top w:type="dxa" w:w="50"/>
              <w:left w:type="dxa" w:w="60"/>
              <w:bottom w:type="dxa" w:w="50"/>
              <w:right w:type="dxa" w:w="60"/>
            </w:tcMar>
            <w:vAlign w:val="top"/>
          </w:tcPr>
          <w:p>
            <w:pPr>
              <w:spacing w:after="0" w:line="23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6"/>
                <w:szCs w:val="16"/>
              </w:rPr>
              <w:t xml:space="preserve">U.S. Department of Veterans Affairs. Guidance on standards for Community Care Network providers of biofeedback / neurofeedback.</w:t>
            </w:r>
          </w:p>
        </w:tc>
        <w:tc>
          <w:tcPr>
            <w:tcW w:type="dxa" w:w="1680"/>
            <w:tcBorders>
              <w:top w:val="single" w:color="C5CDD4" w:sz="4"/>
              <w:left w:val="single" w:color="C5CDD4" w:sz="4"/>
              <w:bottom w:val="single" w:color="C5CDD4" w:sz="4"/>
              <w:right w:val="single" w:color="C5CDD4" w:sz="4"/>
            </w:tcBorders>
            <w:shd w:fill="FFFFFF" w:val="clear"/>
            <w:tcMar>
              <w:top w:type="dxa" w:w="50"/>
              <w:left w:type="dxa" w:w="60"/>
              <w:bottom w:type="dxa" w:w="50"/>
              <w:right w:type="dxa" w:w="60"/>
            </w:tcMar>
            <w:vAlign w:val="top"/>
          </w:tcPr>
          <w:p>
            <w:pPr>
              <w:spacing w:after="0" w:line="23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6"/>
                <w:szCs w:val="16"/>
              </w:rPr>
              <w:t xml:space="preserve">Payer / network credentialing</w:t>
            </w:r>
          </w:p>
        </w:tc>
        <w:tc>
          <w:tcPr>
            <w:tcW w:type="dxa" w:w="3720"/>
            <w:tcBorders>
              <w:top w:val="single" w:color="C5CDD4" w:sz="4"/>
              <w:left w:val="single" w:color="C5CDD4" w:sz="4"/>
              <w:bottom w:val="single" w:color="C5CDD4" w:sz="4"/>
              <w:right w:val="single" w:color="C5CDD4" w:sz="4"/>
            </w:tcBorders>
            <w:shd w:fill="FFFFFF" w:val="clear"/>
            <w:tcMar>
              <w:top w:type="dxa" w:w="50"/>
              <w:left w:type="dxa" w:w="60"/>
              <w:bottom w:type="dxa" w:w="50"/>
              <w:right w:type="dxa" w:w="60"/>
            </w:tcMar>
            <w:vAlign w:val="top"/>
          </w:tcPr>
          <w:p>
            <w:pPr>
              <w:spacing w:after="0" w:line="23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6"/>
                <w:szCs w:val="16"/>
              </w:rPr>
              <w:t xml:space="preserve">Requires an independent license plus specified didactic and supervised-hour minima (or listed attestations) for neurofeedback and related modalities used in the VA network.</w:t>
            </w:r>
          </w:p>
        </w:tc>
        <w:tc>
          <w:tcPr>
            <w:tcW w:type="dxa" w:w="3720"/>
            <w:tcBorders>
              <w:top w:val="single" w:color="C5CDD4" w:sz="4"/>
              <w:left w:val="single" w:color="C5CDD4" w:sz="4"/>
              <w:bottom w:val="single" w:color="C5CDD4" w:sz="4"/>
              <w:right w:val="single" w:color="C5CDD4" w:sz="4"/>
            </w:tcBorders>
            <w:shd w:fill="FFFFFF" w:val="clear"/>
            <w:tcMar>
              <w:top w:type="dxa" w:w="50"/>
              <w:left w:type="dxa" w:w="60"/>
              <w:bottom w:type="dxa" w:w="50"/>
              <w:right w:type="dxa" w:w="60"/>
            </w:tcMar>
            <w:vAlign w:val="top"/>
          </w:tcPr>
          <w:p>
            <w:pPr>
              <w:spacing w:after="0" w:line="23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6"/>
                <w:szCs w:val="16"/>
              </w:rPr>
              <w:t xml:space="preserve">Not a field-wide Standard of Care. A purchaser rule for one system.</w:t>
            </w:r>
          </w:p>
        </w:tc>
        <w:tc>
          <w:tcPr>
            <w:tcW w:type="dxa" w:w="2880"/>
            <w:tcBorders>
              <w:top w:val="single" w:color="C5CDD4" w:sz="4"/>
              <w:left w:val="single" w:color="C5CDD4" w:sz="4"/>
              <w:bottom w:val="single" w:color="C5CDD4" w:sz="4"/>
              <w:right w:val="single" w:color="C5CDD4" w:sz="4"/>
            </w:tcBorders>
            <w:shd w:fill="FFFFFF" w:val="clear"/>
            <w:tcMar>
              <w:top w:type="dxa" w:w="50"/>
              <w:left w:type="dxa" w:w="60"/>
              <w:bottom w:type="dxa" w:w="50"/>
              <w:right w:type="dxa" w:w="60"/>
            </w:tcMar>
            <w:vAlign w:val="top"/>
          </w:tcPr>
          <w:p>
            <w:pPr>
              <w:spacing w:after="0" w:line="220"/>
            </w:pPr>
            <w:hyperlink w:history="1" r:id="rIdvkvqxblil61k_mccailqm">
              <w:r>
                <w:rPr>
                  <w:rFonts w:ascii="Calibri" w:cs="Calibri" w:eastAsia="Calibri" w:hAnsi="Calibri"/>
                  <w:color w:val="1B4F8A"/>
                  <w:sz w:val="15"/>
                  <w:szCs w:val="15"/>
                  <w:u w:val="single"/>
                </w:rPr>
                <w:t xml:space="preserve">VA CCN guidance</w:t>
              </w:r>
            </w:hyperlink>
          </w:p>
        </w:tc>
      </w:tr>
      <w:tr>
        <w:tc>
          <w:tcPr>
            <w:tcW w:type="dxa" w:w="2400"/>
            <w:tcBorders>
              <w:top w:val="single" w:color="C5CDD4" w:sz="4"/>
              <w:left w:val="single" w:color="C5CDD4" w:sz="4"/>
              <w:bottom w:val="single" w:color="C5CDD4" w:sz="4"/>
              <w:right w:val="single" w:color="C5CDD4" w:sz="4"/>
            </w:tcBorders>
            <w:shd w:fill="F3F6F9" w:val="clear"/>
            <w:tcMar>
              <w:top w:type="dxa" w:w="50"/>
              <w:left w:type="dxa" w:w="60"/>
              <w:bottom w:type="dxa" w:w="50"/>
              <w:right w:type="dxa" w:w="60"/>
            </w:tcMar>
            <w:vAlign w:val="top"/>
          </w:tcPr>
          <w:p>
            <w:pPr>
              <w:spacing w:after="0" w:line="23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6"/>
                <w:szCs w:val="16"/>
              </w:rPr>
              <w:t xml:space="preserve">BrainFutures (2020/21). Neurofeedback: An Efficacious Treatment for Behavioral Health.</w:t>
            </w:r>
          </w:p>
        </w:tc>
        <w:tc>
          <w:tcPr>
            <w:tcW w:type="dxa" w:w="1680"/>
            <w:tcBorders>
              <w:top w:val="single" w:color="C5CDD4" w:sz="4"/>
              <w:left w:val="single" w:color="C5CDD4" w:sz="4"/>
              <w:bottom w:val="single" w:color="C5CDD4" w:sz="4"/>
              <w:right w:val="single" w:color="C5CDD4" w:sz="4"/>
            </w:tcBorders>
            <w:shd w:fill="F3F6F9" w:val="clear"/>
            <w:tcMar>
              <w:top w:type="dxa" w:w="50"/>
              <w:left w:type="dxa" w:w="60"/>
              <w:bottom w:type="dxa" w:w="50"/>
              <w:right w:type="dxa" w:w="60"/>
            </w:tcMar>
            <w:vAlign w:val="top"/>
          </w:tcPr>
          <w:p>
            <w:pPr>
              <w:spacing w:after="0" w:line="23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6"/>
                <w:szCs w:val="16"/>
              </w:rPr>
              <w:t xml:space="preserve">Advocacy evidence review</w:t>
            </w:r>
          </w:p>
        </w:tc>
        <w:tc>
          <w:tcPr>
            <w:tcW w:type="dxa" w:w="3720"/>
            <w:tcBorders>
              <w:top w:val="single" w:color="C5CDD4" w:sz="4"/>
              <w:left w:val="single" w:color="C5CDD4" w:sz="4"/>
              <w:bottom w:val="single" w:color="C5CDD4" w:sz="4"/>
              <w:right w:val="single" w:color="C5CDD4" w:sz="4"/>
            </w:tcBorders>
            <w:shd w:fill="F3F6F9" w:val="clear"/>
            <w:tcMar>
              <w:top w:type="dxa" w:w="50"/>
              <w:left w:type="dxa" w:w="60"/>
              <w:bottom w:type="dxa" w:w="50"/>
              <w:right w:type="dxa" w:w="60"/>
            </w:tcMar>
            <w:vAlign w:val="top"/>
          </w:tcPr>
          <w:p>
            <w:pPr>
              <w:spacing w:after="0" w:line="23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6"/>
                <w:szCs w:val="16"/>
              </w:rPr>
              <w:t xml:space="preserve">Makes a policy case for neurofeedback in ADHD and anxiety and issues recommendations.</w:t>
            </w:r>
          </w:p>
        </w:tc>
        <w:tc>
          <w:tcPr>
            <w:tcW w:type="dxa" w:w="3720"/>
            <w:tcBorders>
              <w:top w:val="single" w:color="C5CDD4" w:sz="4"/>
              <w:left w:val="single" w:color="C5CDD4" w:sz="4"/>
              <w:bottom w:val="single" w:color="C5CDD4" w:sz="4"/>
              <w:right w:val="single" w:color="C5CDD4" w:sz="4"/>
            </w:tcBorders>
            <w:shd w:fill="F3F6F9" w:val="clear"/>
            <w:tcMar>
              <w:top w:type="dxa" w:w="50"/>
              <w:left w:type="dxa" w:w="60"/>
              <w:bottom w:type="dxa" w:w="50"/>
              <w:right w:type="dxa" w:w="60"/>
            </w:tcMar>
            <w:vAlign w:val="top"/>
          </w:tcPr>
          <w:p>
            <w:pPr>
              <w:spacing w:after="0" w:line="23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6"/>
                <w:szCs w:val="16"/>
              </w:rPr>
              <w:t xml:space="preserve">Not a practice standard. Do not import “first-line treatment” language into a standards document.</w:t>
            </w:r>
          </w:p>
        </w:tc>
        <w:tc>
          <w:tcPr>
            <w:tcW w:type="dxa" w:w="2880"/>
            <w:tcBorders>
              <w:top w:val="single" w:color="C5CDD4" w:sz="4"/>
              <w:left w:val="single" w:color="C5CDD4" w:sz="4"/>
              <w:bottom w:val="single" w:color="C5CDD4" w:sz="4"/>
              <w:right w:val="single" w:color="C5CDD4" w:sz="4"/>
            </w:tcBorders>
            <w:shd w:fill="F3F6F9" w:val="clear"/>
            <w:tcMar>
              <w:top w:type="dxa" w:w="50"/>
              <w:left w:type="dxa" w:w="60"/>
              <w:bottom w:type="dxa" w:w="50"/>
              <w:right w:type="dxa" w:w="60"/>
            </w:tcMar>
            <w:vAlign w:val="top"/>
          </w:tcPr>
          <w:p>
            <w:pPr>
              <w:spacing w:after="0" w:line="220"/>
            </w:pPr>
            <w:hyperlink w:history="1" r:id="rIdxqzih4j_npphztiajj024">
              <w:r>
                <w:rPr>
                  <w:rFonts w:ascii="Calibri" w:cs="Calibri" w:eastAsia="Calibri" w:hAnsi="Calibri"/>
                  <w:color w:val="1B4F8A"/>
                  <w:sz w:val="15"/>
                  <w:szCs w:val="15"/>
                  <w:u w:val="single"/>
                </w:rPr>
                <w:t xml:space="preserve">brainfutures.org/neurofeedback-report</w:t>
              </w:r>
            </w:hyperlink>
          </w:p>
        </w:tc>
      </w:tr>
      <w:tr>
        <w:tc>
          <w:tcPr>
            <w:tcW w:type="dxa" w:w="2400"/>
            <w:tcBorders>
              <w:top w:val="single" w:color="C5CDD4" w:sz="4"/>
              <w:left w:val="single" w:color="C5CDD4" w:sz="4"/>
              <w:bottom w:val="single" w:color="C5CDD4" w:sz="4"/>
              <w:right w:val="single" w:color="C5CDD4" w:sz="4"/>
            </w:tcBorders>
            <w:shd w:fill="FFFFFF" w:val="clear"/>
            <w:tcMar>
              <w:top w:type="dxa" w:w="50"/>
              <w:left w:type="dxa" w:w="60"/>
              <w:bottom w:type="dxa" w:w="50"/>
              <w:right w:type="dxa" w:w="60"/>
            </w:tcMar>
            <w:vAlign w:val="top"/>
          </w:tcPr>
          <w:p>
            <w:pPr>
              <w:spacing w:after="0" w:line="23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6"/>
                <w:szCs w:val="16"/>
              </w:rPr>
              <w:t xml:space="preserve">State and provincial practice acts</w:t>
            </w:r>
          </w:p>
        </w:tc>
        <w:tc>
          <w:tcPr>
            <w:tcW w:type="dxa" w:w="1680"/>
            <w:tcBorders>
              <w:top w:val="single" w:color="C5CDD4" w:sz="4"/>
              <w:left w:val="single" w:color="C5CDD4" w:sz="4"/>
              <w:bottom w:val="single" w:color="C5CDD4" w:sz="4"/>
              <w:right w:val="single" w:color="C5CDD4" w:sz="4"/>
            </w:tcBorders>
            <w:shd w:fill="FFFFFF" w:val="clear"/>
            <w:tcMar>
              <w:top w:type="dxa" w:w="50"/>
              <w:left w:type="dxa" w:w="60"/>
              <w:bottom w:type="dxa" w:w="50"/>
              <w:right w:type="dxa" w:w="60"/>
            </w:tcMar>
            <w:vAlign w:val="top"/>
          </w:tcPr>
          <w:p>
            <w:pPr>
              <w:spacing w:after="0" w:line="23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6"/>
                <w:szCs w:val="16"/>
              </w:rPr>
              <w:t xml:space="preserve">Law</w:t>
            </w:r>
          </w:p>
        </w:tc>
        <w:tc>
          <w:tcPr>
            <w:tcW w:type="dxa" w:w="3720"/>
            <w:tcBorders>
              <w:top w:val="single" w:color="C5CDD4" w:sz="4"/>
              <w:left w:val="single" w:color="C5CDD4" w:sz="4"/>
              <w:bottom w:val="single" w:color="C5CDD4" w:sz="4"/>
              <w:right w:val="single" w:color="C5CDD4" w:sz="4"/>
            </w:tcBorders>
            <w:shd w:fill="FFFFFF" w:val="clear"/>
            <w:tcMar>
              <w:top w:type="dxa" w:w="50"/>
              <w:left w:type="dxa" w:w="60"/>
              <w:bottom w:type="dxa" w:w="50"/>
              <w:right w:type="dxa" w:w="60"/>
            </w:tcMar>
            <w:vAlign w:val="top"/>
          </w:tcPr>
          <w:p>
            <w:pPr>
              <w:spacing w:after="0" w:line="23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6"/>
                <w:szCs w:val="16"/>
              </w:rPr>
              <w:t xml:space="preserve">Determine who may diagnose and treat, and whether neurofeedback falls inside a given license. There is no national U.S. neurofeedback license.</w:t>
            </w:r>
          </w:p>
        </w:tc>
        <w:tc>
          <w:tcPr>
            <w:tcW w:type="dxa" w:w="3720"/>
            <w:tcBorders>
              <w:top w:val="single" w:color="C5CDD4" w:sz="4"/>
              <w:left w:val="single" w:color="C5CDD4" w:sz="4"/>
              <w:bottom w:val="single" w:color="C5CDD4" w:sz="4"/>
              <w:right w:val="single" w:color="C5CDD4" w:sz="4"/>
            </w:tcBorders>
            <w:shd w:fill="FFFFFF" w:val="clear"/>
            <w:tcMar>
              <w:top w:type="dxa" w:w="50"/>
              <w:left w:type="dxa" w:w="60"/>
              <w:bottom w:type="dxa" w:w="50"/>
              <w:right w:type="dxa" w:w="60"/>
            </w:tcMar>
            <w:vAlign w:val="top"/>
          </w:tcPr>
          <w:p>
            <w:pPr>
              <w:spacing w:after="0" w:line="23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6"/>
                <w:szCs w:val="16"/>
              </w:rPr>
              <w:t xml:space="preserve">Not a professional-society standard. A future Standard of Care cannot override statute.</w:t>
            </w:r>
          </w:p>
        </w:tc>
        <w:tc>
          <w:tcPr>
            <w:tcW w:type="dxa" w:w="2880"/>
            <w:tcBorders>
              <w:top w:val="single" w:color="C5CDD4" w:sz="4"/>
              <w:left w:val="single" w:color="C5CDD4" w:sz="4"/>
              <w:bottom w:val="single" w:color="C5CDD4" w:sz="4"/>
              <w:right w:val="single" w:color="C5CDD4" w:sz="4"/>
            </w:tcBorders>
            <w:shd w:fill="FFFFFF" w:val="clear"/>
            <w:tcMar>
              <w:top w:type="dxa" w:w="50"/>
              <w:left w:type="dxa" w:w="60"/>
              <w:bottom w:type="dxa" w:w="50"/>
              <w:right w:type="dxa" w:w="60"/>
            </w:tcMar>
            <w:vAlign w:val="top"/>
          </w:tcPr>
          <w:p>
            <w:pPr>
              <w:spacing w:after="0" w:line="220"/>
            </w:pPr>
            <w:r>
              <w:rPr>
                <w:rFonts w:ascii="Calibri" w:cs="Calibri" w:eastAsia="Calibri" w:hAnsi="Calibri"/>
                <w:color w:val="222222"/>
                <w:sz w:val="15"/>
                <w:szCs w:val="15"/>
              </w:rPr>
              <w:t xml:space="preserve">Varies by jurisdiction</w:t>
            </w:r>
          </w:p>
        </w:tc>
      </w:tr>
      <w:tr>
        <w:tc>
          <w:tcPr>
            <w:tcW w:type="dxa" w:w="2400"/>
            <w:tcBorders>
              <w:top w:val="single" w:color="C5CDD4" w:sz="4"/>
              <w:left w:val="single" w:color="C5CDD4" w:sz="4"/>
              <w:bottom w:val="single" w:color="C5CDD4" w:sz="4"/>
              <w:right w:val="single" w:color="C5CDD4" w:sz="4"/>
            </w:tcBorders>
            <w:shd w:fill="F3F6F9" w:val="clear"/>
            <w:tcMar>
              <w:top w:type="dxa" w:w="50"/>
              <w:left w:type="dxa" w:w="60"/>
              <w:bottom w:type="dxa" w:w="50"/>
              <w:right w:type="dxa" w:w="60"/>
            </w:tcMar>
            <w:vAlign w:val="top"/>
          </w:tcPr>
          <w:p>
            <w:pPr>
              <w:spacing w:after="0" w:line="23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6"/>
                <w:szCs w:val="16"/>
              </w:rPr>
              <w:t xml:space="preserve">Gary J. Schummer. Plan to Draft Standards of Care for Neurofeedback. Two-page project memorandum.</w:t>
            </w:r>
          </w:p>
        </w:tc>
        <w:tc>
          <w:tcPr>
            <w:tcW w:type="dxa" w:w="1680"/>
            <w:tcBorders>
              <w:top w:val="single" w:color="C5CDD4" w:sz="4"/>
              <w:left w:val="single" w:color="C5CDD4" w:sz="4"/>
              <w:bottom w:val="single" w:color="C5CDD4" w:sz="4"/>
              <w:right w:val="single" w:color="C5CDD4" w:sz="4"/>
            </w:tcBorders>
            <w:shd w:fill="F3F6F9" w:val="clear"/>
            <w:tcMar>
              <w:top w:type="dxa" w:w="50"/>
              <w:left w:type="dxa" w:w="60"/>
              <w:bottom w:type="dxa" w:w="50"/>
              <w:right w:type="dxa" w:w="60"/>
            </w:tcMar>
            <w:vAlign w:val="top"/>
          </w:tcPr>
          <w:p>
            <w:pPr>
              <w:spacing w:after="0" w:line="23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6"/>
                <w:szCs w:val="16"/>
              </w:rPr>
              <w:t xml:space="preserve">Project vision document</w:t>
            </w:r>
          </w:p>
        </w:tc>
        <w:tc>
          <w:tcPr>
            <w:tcW w:type="dxa" w:w="3720"/>
            <w:tcBorders>
              <w:top w:val="single" w:color="C5CDD4" w:sz="4"/>
              <w:left w:val="single" w:color="C5CDD4" w:sz="4"/>
              <w:bottom w:val="single" w:color="C5CDD4" w:sz="4"/>
              <w:right w:val="single" w:color="C5CDD4" w:sz="4"/>
            </w:tcBorders>
            <w:shd w:fill="F3F6F9" w:val="clear"/>
            <w:tcMar>
              <w:top w:type="dxa" w:w="50"/>
              <w:left w:type="dxa" w:w="60"/>
              <w:bottom w:type="dxa" w:w="50"/>
              <w:right w:type="dxa" w:w="60"/>
            </w:tcMar>
            <w:vAlign w:val="top"/>
          </w:tcPr>
          <w:p>
            <w:pPr>
              <w:spacing w:after="0" w:line="23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6"/>
                <w:szCs w:val="16"/>
              </w:rPr>
              <w:t xml:space="preserve">States that the field lacks an agreed Standard of Care; that ethics codes and guidelines are guardrails and do not replace one; and that a later committee draft was not adopted as official Standards of Care after membership pushback over process.</w:t>
            </w:r>
          </w:p>
        </w:tc>
        <w:tc>
          <w:tcPr>
            <w:tcW w:type="dxa" w:w="3720"/>
            <w:tcBorders>
              <w:top w:val="single" w:color="C5CDD4" w:sz="4"/>
              <w:left w:val="single" w:color="C5CDD4" w:sz="4"/>
              <w:bottom w:val="single" w:color="C5CDD4" w:sz="4"/>
              <w:right w:val="single" w:color="C5CDD4" w:sz="4"/>
            </w:tcBorders>
            <w:shd w:fill="F3F6F9" w:val="clear"/>
            <w:tcMar>
              <w:top w:type="dxa" w:w="50"/>
              <w:left w:type="dxa" w:w="60"/>
              <w:bottom w:type="dxa" w:w="50"/>
              <w:right w:type="dxa" w:w="60"/>
            </w:tcMar>
            <w:vAlign w:val="top"/>
          </w:tcPr>
          <w:p>
            <w:pPr>
              <w:spacing w:after="0" w:line="230"/>
            </w:pPr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6"/>
                <w:szCs w:val="16"/>
              </w:rPr>
              <w:t xml:space="preserve">Not itself a Standard of Care. Not a peer-reviewed publication. Its 16 March 2014 dating of the Hammond DOI is incorrect; that paper was published in 2011.</w:t>
            </w:r>
          </w:p>
        </w:tc>
        <w:tc>
          <w:tcPr>
            <w:tcW w:type="dxa" w:w="2880"/>
            <w:tcBorders>
              <w:top w:val="single" w:color="C5CDD4" w:sz="4"/>
              <w:left w:val="single" w:color="C5CDD4" w:sz="4"/>
              <w:bottom w:val="single" w:color="C5CDD4" w:sz="4"/>
              <w:right w:val="single" w:color="C5CDD4" w:sz="4"/>
            </w:tcBorders>
            <w:shd w:fill="F3F6F9" w:val="clear"/>
            <w:tcMar>
              <w:top w:type="dxa" w:w="50"/>
              <w:left w:type="dxa" w:w="60"/>
              <w:bottom w:type="dxa" w:w="50"/>
              <w:right w:type="dxa" w:w="60"/>
            </w:tcMar>
            <w:vAlign w:val="top"/>
          </w:tcPr>
          <w:p>
            <w:pPr>
              <w:spacing w:after="0" w:line="220"/>
            </w:pPr>
            <w:r>
              <w:rPr>
                <w:rFonts w:ascii="Calibri" w:cs="Calibri" w:eastAsia="Calibri" w:hAnsi="Calibri"/>
                <w:color w:val="222222"/>
                <w:sz w:val="15"/>
                <w:szCs w:val="15"/>
              </w:rPr>
              <w:t xml:space="preserve">Project file (uploaded PDF)</w:t>
            </w:r>
          </w:p>
        </w:tc>
      </w:tr>
    </w:tbl>
    <w:p>
      <w:pPr>
        <w:spacing w:after="80" w:before="200"/>
      </w:pPr>
    </w:p>
    <w:tbl>
      <w:tblPr>
        <w:tblW w:type="dxa" w:w="14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0"/>
      </w:tblGrid>
      <w:tr>
        <w:tc>
          <w:tcPr>
            <w:tcW w:type="dxa" w:w="14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EDE2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0" w:before="0" w:line="25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B365D"/>
                <w:sz w:val="20"/>
                <w:szCs w:val="20"/>
              </w:rPr>
              <w:t xml:space="preserve">The empty cell. 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333333"/>
                <w:sz w:val="20"/>
                <w:szCs w:val="20"/>
              </w:rPr>
              <w:t xml:space="preserve">No row in this table is a single, field-wide, membership-ratified Standards of Care for neurofeedback. That absence is why a drafting project exists. Public pages should keep the 2011 Board-acceptance fact and the “no ratified Standard of Care” fact in the same account.</w:t>
            </w:r>
          </w:p>
        </w:tc>
      </w:tr>
    </w:tbl>
    <w:p>
      <w:pPr>
        <w:pStyle w:val="Heading1"/>
        <w:pBdr>
          <w:bottom w:val="single" w:color="1B365D" w:sz="12" w:space="4"/>
        </w:pBdr>
        <w:spacing w:after="120" w:before="280"/>
      </w:pPr>
      <w:r>
        <w:rPr>
          <w:rFonts w:ascii="Calibri" w:cs="Calibri" w:eastAsia="Calibri" w:hAnsi="Calibri"/>
          <w:b/>
          <w:bCs/>
          <w:color w:val="1B365D"/>
          <w:sz w:val="30"/>
          <w:szCs w:val="30"/>
        </w:rPr>
        <w:t xml:space="preserve">How these documents relate</w:t>
      </w:r>
    </w:p>
    <w:p>
      <w:pPr>
        <w:spacing w:after="14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22222"/>
          <w:sz w:val="22"/>
          <w:szCs w:val="22"/>
        </w:rPr>
        <w:t xml:space="preserve">Ethics codes bind members of a society or certificants of a board. Practice guidelines tell members and the public how work is ordinarily done. Certification describes a voluntary training pathway. Equipment standards describe instruments and software documentation. Device rules classify products. Payer rules decide who a network will pay. Advocacy reports argue for coverage or adoption. A Standard of Care, in the sense this history is tracking, would be a consensus account of what reasonably skilled peers owe a client, adopted by a defined constituency after open comment. That document has not been published.</w:t>
      </w:r>
    </w:p>
    <w:sectPr>
      <w:headerReference w:type="default" r:id="rId7"/>
      <w:footerReference w:type="default" r:id="rId8"/>
      <w:pgSz w:w="15840" w:h="12240" w:orient="landscape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5CDD4" w:sz="6" w:space="4"/>
      </w:pBdr>
      <w:spacing w:before="60"/>
    </w:pPr>
    <w:r>
      <w:rPr>
        <w:rFonts w:ascii="Calibri" w:cs="Calibri" w:eastAsia="Calibri" w:hAnsi="Calibri"/>
        <w:color w:val="555555"/>
        <w:sz w:val="15"/>
        <w:szCs w:val="15"/>
      </w:rPr>
      <w:t xml:space="preserve">Companion to Essential Practice Standards for Neurofeedback  ·  Page </w:t>
    </w:r>
    <w:r>
      <w:rPr>
        <w:rFonts w:ascii="Calibri" w:cs="Calibri" w:eastAsia="Calibri" w:hAnsi="Calibri"/>
        <w:color w:val="555555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1B365D" w:sz="8" w:space="4"/>
      </w:pBdr>
      <w:spacing w:after="40"/>
    </w:pPr>
    <w:r>
      <w:rPr>
        <w:rFonts w:ascii="Calibri" w:cs="Calibri" w:eastAsia="Calibri" w:hAnsi="Calibri"/>
        <w:i/>
        <w:iCs/>
        <w:color w:val="1B365D"/>
        <w:sz w:val="16"/>
        <w:szCs w:val="16"/>
      </w:rPr>
      <w:t xml:space="preserve">History of Neurofeedback Practice Standards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20" w:before="280"/>
      <w:outlineLvl w:val="0"/>
    </w:pPr>
    <w:rPr>
      <w:rFonts w:ascii="Calibri" w:cs="Calibri" w:eastAsia="Calibri" w:hAnsi="Calibri"/>
      <w:b/>
      <w:bCs/>
      <w:color w:val="1B365D"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80" w:before="220"/>
      <w:outlineLvl w:val="1"/>
    </w:pPr>
    <w:rPr>
      <w:rFonts w:ascii="Calibri" w:cs="Calibri" w:eastAsia="Calibri" w:hAnsi="Calibri"/>
      <w:b/>
      <w:bCs/>
      <w:color w:val="2C5F6E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2jbkzzbqn7rplv53gnbpp" Type="http://schemas.openxmlformats.org/officeDocument/2006/relationships/hyperlink" Target="https://doi.org/10.1080/10874200802219947" TargetMode="External"/><Relationship Id="rIdjecjemkpjzsx69wi-9x3l" Type="http://schemas.openxmlformats.org/officeDocument/2006/relationships/hyperlink" Target="https://doi.org/10.1300/J184v08n01_02" TargetMode="External"/><Relationship Id="rId1qqwwr0_ch3pa9kmtmbpu" Type="http://schemas.openxmlformats.org/officeDocument/2006/relationships/hyperlink" Target="https://doi.org/10.1080/10874208.2010.545760" TargetMode="External"/><Relationship Id="rIdhblt_9tj7cheqwchmlo49" Type="http://schemas.openxmlformats.org/officeDocument/2006/relationships/hyperlink" Target="https://www.tandfonline.com/doi/full/10.1080/10874208.2010.545760" TargetMode="External"/><Relationship Id="rIdxduwc30n9bq7it-idm4gg" Type="http://schemas.openxmlformats.org/officeDocument/2006/relationships/hyperlink" Target="https://isnr.org/isnr-code-of-ethics/" TargetMode="External"/><Relationship Id="rIdvpksgznz468nc0wcxij_0" Type="http://schemas.openxmlformats.org/officeDocument/2006/relationships/hyperlink" Target="https://isnr.org/guidelines-for-practice" TargetMode="External"/><Relationship Id="rIdxn1ausowr3vsynldndcs5" Type="http://schemas.openxmlformats.org/officeDocument/2006/relationships/hyperlink" Target="https://isnr.org/what-is-neurofeedback" TargetMode="External"/><Relationship Id="rIdyssaeojbznh28hkyzpoq1" Type="http://schemas.openxmlformats.org/officeDocument/2006/relationships/hyperlink" Target="https://isnr.org/resources/" TargetMode="External"/><Relationship Id="rIdrpdwz-rtnvb-yxumv9uvn" Type="http://schemas.openxmlformats.org/officeDocument/2006/relationships/hyperlink" Target="https://bcia.memberclicks.net/assets/docs/ProfessionalStandardsAndEthicalPrinciplesofBiofeedback.pdf" TargetMode="External"/><Relationship Id="rIdpywt4bnaxzuegspmvxkvr" Type="http://schemas.openxmlformats.org/officeDocument/2006/relationships/hyperlink" Target="https://www.bcia.org/bcia-professional-standards-ethical-principles" TargetMode="External"/><Relationship Id="rIdnksskkybeowmdksfpizqb" Type="http://schemas.openxmlformats.org/officeDocument/2006/relationships/hyperlink" Target="https://www.bcia.org/nf-entry-level" TargetMode="External"/><Relationship Id="rIdjy5qmvy_zqjpnudgjapmx" Type="http://schemas.openxmlformats.org/officeDocument/2006/relationships/hyperlink" Target="https://aapb.org/Standards_for_Performing_Biofeedback" TargetMode="External"/><Relationship Id="rIdvjpkfv0mabhyvahgetqge" Type="http://schemas.openxmlformats.org/officeDocument/2006/relationships/hyperlink" Target="https://aapb.org/Code_of_Ethics" TargetMode="External"/><Relationship Id="rIdq7mdsb3ypd1lkasjdjdao" Type="http://schemas.openxmlformats.org/officeDocument/2006/relationships/hyperlink" Target="https://aapb.org/Publications" TargetMode="External"/><Relationship Id="rIdmwicgxupdpyi_upct0eay" Type="http://schemas.openxmlformats.org/officeDocument/2006/relationships/hyperlink" Target="https://doi.org/10.1109/IEEESTD.2023.10186304" TargetMode="External"/><Relationship Id="rIdcvf3l3uzysw49pqsx7lbi" Type="http://schemas.openxmlformats.org/officeDocument/2006/relationships/hyperlink" Target="https://standards.ieee.org/ieee/2010/10758/" TargetMode="External"/><Relationship Id="rIdk2vanbma5cmhh8sli22tl" Type="http://schemas.openxmlformats.org/officeDocument/2006/relationships/hyperlink" Target="https://www.ecfr.gov/current/title-21/chapter-I/subchapter-H/part-882/section-882.5050" TargetMode="External"/><Relationship Id="rId95ozboxbvogmfvup47too" Type="http://schemas.openxmlformats.org/officeDocument/2006/relationships/hyperlink" Target="https://qeegcertificationboard.org/" TargetMode="External"/><Relationship Id="rIdac2riwtlrjwh3kxp85ugy" Type="http://schemas.openxmlformats.org/officeDocument/2006/relationships/hyperlink" Target="https://doi.org/10.1177/15500594241308654" TargetMode="External"/><Relationship Id="rIdtg99rrrp3dqtywrpoitag" Type="http://schemas.openxmlformats.org/officeDocument/2006/relationships/hyperlink" Target="https://qeegcertificationboard.org/wp-content/uploads/IQCB-Guidelines-for-Report-Writing-03-16-2025.pdf" TargetMode="External"/><Relationship Id="rIdnj9mnue2rogha9s6xucpn" Type="http://schemas.openxmlformats.org/officeDocument/2006/relationships/hyperlink" Target="https://doi.org/10.1097/WNP.0000000000000308" TargetMode="External"/><Relationship Id="rIdsvssbjzpnspignxzmgugj" Type="http://schemas.openxmlformats.org/officeDocument/2006/relationships/hyperlink" Target="https://www.acns.org/advocacy/guidelines-and-consensus-statements" TargetMode="External"/><Relationship Id="rId-83el4_llqddr1ig2ylu0" Type="http://schemas.openxmlformats.org/officeDocument/2006/relationships/hyperlink" Target="https://aapb.org/Standards_for_Performing_Biofeedback" TargetMode="External"/><Relationship Id="rIdquo0hgiwg9zazmskgnuln" Type="http://schemas.openxmlformats.org/officeDocument/2006/relationships/hyperlink" Target="https://doi.org/10.1093/brain/awaa009" TargetMode="External"/><Relationship Id="rIdmz--cxldtxn7mx92uea1-" Type="http://schemas.openxmlformats.org/officeDocument/2006/relationships/hyperlink" Target="https://www.rtfin.org/CREDnf" TargetMode="External"/><Relationship Id="rIdvkvqxblil61k_mccailqm" Type="http://schemas.openxmlformats.org/officeDocument/2006/relationships/hyperlink" Target="https://www.va.gov/wholehealth/professional-resources/Guidance_CCN_Biofeedback_Neurofeedback.asp" TargetMode="External"/><Relationship Id="rIdxqzih4j_npphztiajj024" Type="http://schemas.openxmlformats.org/officeDocument/2006/relationships/hyperlink" Target="https://www.brainfutures.org/neurofeedback-report/" TargetMode="External"/><Relationship Id="rId3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2026-09-19T05:52:49.353Z</dcterms:created>
  <dcterms:modified xsi:type="dcterms:W3CDTF">2026-09-19T05:52:49.353Z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